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DA07D7">
      <w:pPr>
        <w:jc w:val="center"/>
        <w:rPr>
          <w:b/>
          <w:sz w:val="44"/>
          <w:szCs w:val="44"/>
        </w:rPr>
      </w:pPr>
    </w:p>
    <w:p w14:paraId="1A205F0B">
      <w:pPr>
        <w:jc w:val="center"/>
        <w:rPr>
          <w:rFonts w:asciiTheme="majorEastAsia" w:hAnsiTheme="majorEastAsia" w:eastAsiaTheme="majorEastAsia" w:cstheme="majorEastAsia"/>
          <w:b/>
          <w:sz w:val="44"/>
          <w:szCs w:val="44"/>
        </w:rPr>
      </w:pPr>
      <w:r>
        <w:rPr>
          <w:rFonts w:hint="eastAsia" w:asciiTheme="majorEastAsia" w:hAnsiTheme="majorEastAsia" w:eastAsiaTheme="majorEastAsia" w:cstheme="majorEastAsia"/>
          <w:b/>
          <w:sz w:val="44"/>
          <w:szCs w:val="44"/>
        </w:rPr>
        <w:t>202</w:t>
      </w:r>
      <w:r>
        <w:rPr>
          <w:rFonts w:hint="eastAsia" w:asciiTheme="majorEastAsia" w:hAnsiTheme="majorEastAsia" w:eastAsiaTheme="majorEastAsia" w:cstheme="majorEastAsia"/>
          <w:b/>
          <w:sz w:val="44"/>
          <w:szCs w:val="44"/>
          <w:lang w:val="en-US" w:eastAsia="zh-CN"/>
        </w:rPr>
        <w:t>4</w:t>
      </w:r>
      <w:r>
        <w:rPr>
          <w:rFonts w:hint="eastAsia" w:asciiTheme="majorEastAsia" w:hAnsiTheme="majorEastAsia" w:eastAsiaTheme="majorEastAsia" w:cstheme="majorEastAsia"/>
          <w:b/>
          <w:sz w:val="44"/>
          <w:szCs w:val="44"/>
        </w:rPr>
        <w:t>年松原市本级预算绩效管理工作</w:t>
      </w:r>
    </w:p>
    <w:p w14:paraId="5D842D1D">
      <w:pPr>
        <w:jc w:val="center"/>
        <w:rPr>
          <w:b/>
          <w:sz w:val="44"/>
          <w:szCs w:val="44"/>
        </w:rPr>
      </w:pPr>
      <w:r>
        <w:rPr>
          <w:rFonts w:hint="eastAsia" w:asciiTheme="majorEastAsia" w:hAnsiTheme="majorEastAsia" w:eastAsiaTheme="majorEastAsia" w:cstheme="majorEastAsia"/>
          <w:b/>
          <w:sz w:val="44"/>
          <w:szCs w:val="44"/>
        </w:rPr>
        <w:t>开展情况说明</w:t>
      </w:r>
    </w:p>
    <w:p w14:paraId="687A4D0D">
      <w:pPr>
        <w:ind w:firstLine="640" w:firstLineChars="200"/>
        <w:rPr>
          <w:sz w:val="32"/>
          <w:szCs w:val="32"/>
        </w:rPr>
      </w:pPr>
    </w:p>
    <w:p w14:paraId="3767E039">
      <w:pPr>
        <w:ind w:firstLine="640" w:firstLineChars="200"/>
        <w:rPr>
          <w:rFonts w:ascii="仿宋_GB2312" w:eastAsia="仿宋_GB2312"/>
          <w:sz w:val="32"/>
          <w:szCs w:val="32"/>
        </w:rPr>
      </w:pPr>
      <w:r>
        <w:rPr>
          <w:rFonts w:hint="eastAsia" w:ascii="仿宋_GB2312" w:eastAsia="仿宋_GB2312"/>
          <w:sz w:val="32"/>
          <w:szCs w:val="32"/>
        </w:rPr>
        <w:t>202</w:t>
      </w:r>
      <w:r>
        <w:rPr>
          <w:rFonts w:hint="eastAsia" w:ascii="仿宋_GB2312" w:eastAsia="仿宋_GB2312"/>
          <w:sz w:val="32"/>
          <w:szCs w:val="32"/>
          <w:lang w:val="en-US" w:eastAsia="zh-CN"/>
        </w:rPr>
        <w:t>4</w:t>
      </w:r>
      <w:r>
        <w:rPr>
          <w:rFonts w:hint="eastAsia" w:ascii="仿宋_GB2312" w:eastAsia="仿宋_GB2312"/>
          <w:sz w:val="32"/>
          <w:szCs w:val="32"/>
        </w:rPr>
        <w:t>年，</w:t>
      </w:r>
      <w:r>
        <w:rPr>
          <w:rFonts w:hint="eastAsia" w:ascii="仿宋_GB2312" w:eastAsia="仿宋_GB2312"/>
          <w:sz w:val="32"/>
          <w:szCs w:val="32"/>
          <w:lang w:val="en-US" w:eastAsia="zh-CN"/>
        </w:rPr>
        <w:t>深入贯彻执行《中共中央 国务院关于全面实施预算绩效管理的意见》和《中共吉林省委 吉林省人民政府关于全面实施预算绩效管理的实施意见》，确保预算绩效管理实现</w:t>
      </w:r>
      <w:r>
        <w:rPr>
          <w:rFonts w:hint="eastAsia" w:ascii="仿宋_GB2312" w:eastAsia="仿宋_GB2312"/>
          <w:sz w:val="32"/>
          <w:szCs w:val="32"/>
        </w:rPr>
        <w:t>“全方位、全过程、全覆盖”</w:t>
      </w:r>
      <w:r>
        <w:rPr>
          <w:rFonts w:hint="eastAsia" w:ascii="仿宋_GB2312" w:eastAsia="仿宋_GB2312"/>
          <w:sz w:val="32"/>
          <w:szCs w:val="32"/>
          <w:lang w:val="en-US" w:eastAsia="zh-CN"/>
        </w:rPr>
        <w:t>目标</w:t>
      </w:r>
      <w:r>
        <w:rPr>
          <w:rFonts w:hint="eastAsia" w:ascii="仿宋_GB2312" w:eastAsia="仿宋_GB2312"/>
          <w:sz w:val="32"/>
          <w:szCs w:val="32"/>
        </w:rPr>
        <w:t>，</w:t>
      </w:r>
      <w:r>
        <w:rPr>
          <w:rFonts w:hint="eastAsia" w:ascii="仿宋_GB2312" w:eastAsia="仿宋_GB2312"/>
          <w:sz w:val="32"/>
          <w:szCs w:val="32"/>
          <w:lang w:val="en-US" w:eastAsia="zh-CN"/>
        </w:rPr>
        <w:t>开拓</w:t>
      </w:r>
      <w:r>
        <w:rPr>
          <w:rFonts w:hint="eastAsia" w:ascii="仿宋_GB2312" w:eastAsia="仿宋_GB2312"/>
          <w:sz w:val="32"/>
          <w:szCs w:val="32"/>
        </w:rPr>
        <w:t>创新</w:t>
      </w:r>
      <w:r>
        <w:rPr>
          <w:rFonts w:hint="eastAsia" w:ascii="仿宋_GB2312" w:eastAsia="仿宋_GB2312"/>
          <w:sz w:val="32"/>
          <w:szCs w:val="32"/>
          <w:lang w:val="en-US" w:eastAsia="zh-CN"/>
        </w:rPr>
        <w:t>绩效</w:t>
      </w:r>
      <w:r>
        <w:rPr>
          <w:rFonts w:hint="eastAsia" w:ascii="仿宋_GB2312" w:eastAsia="仿宋_GB2312"/>
          <w:sz w:val="32"/>
          <w:szCs w:val="32"/>
        </w:rPr>
        <w:t>管理新方法，</w:t>
      </w:r>
      <w:bookmarkStart w:id="0" w:name="_GoBack"/>
      <w:bookmarkEnd w:id="0"/>
      <w:r>
        <w:rPr>
          <w:rFonts w:hint="eastAsia" w:ascii="仿宋_GB2312" w:eastAsia="仿宋_GB2312"/>
          <w:sz w:val="32"/>
          <w:szCs w:val="32"/>
        </w:rPr>
        <w:t>高效开展绩效管理各项工作：</w:t>
      </w:r>
    </w:p>
    <w:p w14:paraId="6F59E3A4">
      <w:pPr>
        <w:ind w:firstLine="645"/>
        <w:jc w:val="left"/>
        <w:rPr>
          <w:rFonts w:hint="default" w:ascii="黑体" w:hAnsi="黑体" w:eastAsia="黑体" w:cs="黑体"/>
          <w:sz w:val="32"/>
          <w:szCs w:val="32"/>
          <w:lang w:val="en-US" w:eastAsia="zh-CN"/>
        </w:rPr>
      </w:pPr>
      <w:r>
        <w:rPr>
          <w:rFonts w:hint="eastAsia" w:ascii="黑体" w:hAnsi="黑体" w:eastAsia="黑体"/>
          <w:sz w:val="32"/>
          <w:szCs w:val="32"/>
          <w:lang w:val="en-US" w:eastAsia="zh-CN"/>
        </w:rPr>
        <w:t>一、把握主线，筑牢“三全”绩效管理基础</w:t>
      </w:r>
    </w:p>
    <w:p w14:paraId="1535BD03">
      <w:pPr>
        <w:ind w:firstLine="645"/>
        <w:jc w:val="left"/>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工作中，紧紧抓住全方位、全覆盖和全过程三个主要目标开展绩效管理工作，筑牢“三全”绩效管理目基础。</w:t>
      </w:r>
    </w:p>
    <w:p w14:paraId="72E90887">
      <w:pPr>
        <w:ind w:firstLine="645"/>
        <w:jc w:val="left"/>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（一）全方位预算绩效管理</w:t>
      </w:r>
    </w:p>
    <w:p w14:paraId="588B7B2A">
      <w:pPr>
        <w:ind w:firstLine="645"/>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在年度预算安排上，以强化绩效管理为手段，在落实“三保”原则基础上，结合部门整体支出绩效评价结果编制年度预算，确保好钢用在刀刃上，实现了预算绩效管理覆盖四本预算。</w:t>
      </w:r>
    </w:p>
    <w:p w14:paraId="29EBD421">
      <w:pPr>
        <w:numPr>
          <w:ilvl w:val="0"/>
          <w:numId w:val="0"/>
        </w:numPr>
        <w:ind w:left="630" w:leftChars="0"/>
        <w:jc w:val="left"/>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（二）全覆盖预算绩效管理</w:t>
      </w:r>
    </w:p>
    <w:p w14:paraId="7693FFFE">
      <w:pPr>
        <w:ind w:firstLine="645"/>
        <w:jc w:val="left"/>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以财政性资金使用为核心，实施预算绩效全覆盖，凡涉及财政性资金的项目支出，都纳入绩效评价范围。根据财政资金使用规模和领域，动态调整重点绩效评价项目，针对持续性重点项目，采取连续跟踪评价的方式，确保绩效管理不留死角。2024年，累计评价重点项目95个，其中：一般公共预算项目61个，涉及预算资金3.45亿元；抗疫特别国债22个，涉及抗疫特别国债资金2.56亿元；一般债项目12个，涉及一般债资金1.75亿元。</w:t>
      </w:r>
    </w:p>
    <w:p w14:paraId="632F0F0E">
      <w:pPr>
        <w:numPr>
          <w:ilvl w:val="0"/>
          <w:numId w:val="0"/>
        </w:numPr>
        <w:ind w:left="630" w:leftChars="0"/>
        <w:jc w:val="left"/>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（三）全过程预算绩效管理</w:t>
      </w:r>
    </w:p>
    <w:p w14:paraId="46A25F4F">
      <w:pPr>
        <w:ind w:firstLine="645"/>
        <w:jc w:val="left"/>
        <w:rPr>
          <w:rFonts w:hint="eastAsia" w:ascii="仿宋_GB2312" w:eastAsia="仿宋_GB2312" w:hAnsiTheme="minorEastAsia"/>
          <w:b w:val="0"/>
          <w:bCs w:val="0"/>
          <w:sz w:val="32"/>
          <w:szCs w:val="32"/>
          <w:lang w:val="en-US" w:eastAsia="zh-CN"/>
        </w:rPr>
      </w:pPr>
      <w:r>
        <w:rPr>
          <w:rFonts w:hint="eastAsia" w:ascii="仿宋_GB2312" w:eastAsia="仿宋_GB2312" w:hAnsiTheme="minorEastAsia"/>
          <w:b w:val="0"/>
          <w:bCs w:val="0"/>
          <w:sz w:val="32"/>
          <w:szCs w:val="32"/>
          <w:lang w:val="en-US" w:eastAsia="zh-CN"/>
        </w:rPr>
        <w:t>全面开展事前绩效评估、事中绩效监控、事后绩效评价工作，确保预算绩效管理体系基础牢、效果好。</w:t>
      </w:r>
    </w:p>
    <w:p w14:paraId="3B3AD246">
      <w:pPr>
        <w:ind w:firstLine="645"/>
        <w:jc w:val="left"/>
        <w:rPr>
          <w:rFonts w:hint="default" w:ascii="仿宋_GB2312" w:eastAsia="仿宋_GB2312" w:hAnsiTheme="minorEastAsia"/>
          <w:b w:val="0"/>
          <w:bCs w:val="0"/>
          <w:sz w:val="32"/>
          <w:szCs w:val="32"/>
          <w:lang w:val="en-US" w:eastAsia="zh-CN"/>
        </w:rPr>
      </w:pPr>
      <w:r>
        <w:rPr>
          <w:rFonts w:hint="eastAsia" w:ascii="仿宋_GB2312" w:eastAsia="仿宋_GB2312" w:hAnsiTheme="minorEastAsia"/>
          <w:b w:val="0"/>
          <w:bCs w:val="0"/>
          <w:sz w:val="32"/>
          <w:szCs w:val="32"/>
          <w:lang w:val="en-US" w:eastAsia="zh-CN"/>
        </w:rPr>
        <w:t>1.严格把关，源头控制。在年度预算编制阶段，要求各部门对入库的全部项目开展绩效评估，局内各支出业务科室分别把关，对入库项目分析、研究，形成初步意见后，提交到预算项目专题会议审议。专题会议由局班子成员、预算科、国库科和相关业务科室组成。评估专题会议通过后，列入年度预算项目库。同时，针对宁江区水资源调查等6个项目绩效评估报告进行了审核并提出修改意见。</w:t>
      </w:r>
    </w:p>
    <w:p w14:paraId="31D029DF">
      <w:pPr>
        <w:ind w:firstLine="645"/>
        <w:jc w:val="left"/>
        <w:rPr>
          <w:rFonts w:hint="eastAsia" w:ascii="仿宋_GB2312" w:eastAsia="仿宋_GB2312" w:hAnsiTheme="minorEastAsia"/>
          <w:sz w:val="32"/>
          <w:szCs w:val="32"/>
          <w:lang w:val="en-US" w:eastAsia="zh-CN"/>
        </w:rPr>
      </w:pPr>
      <w:r>
        <w:rPr>
          <w:rFonts w:hint="eastAsia" w:ascii="仿宋_GB2312" w:eastAsia="仿宋_GB2312" w:hAnsiTheme="minorEastAsia"/>
          <w:b w:val="0"/>
          <w:bCs w:val="0"/>
          <w:sz w:val="32"/>
          <w:szCs w:val="32"/>
          <w:lang w:val="en-US" w:eastAsia="zh-CN"/>
        </w:rPr>
        <w:t>2.及时开展绩效运行监控。按照《松原市市级部门预算绩效运行监控管理暂行办法》要求，下发《关于开展2024年度市直部门预算绩效运行监控工作的通知》（</w:t>
      </w:r>
      <w:r>
        <w:rPr>
          <w:rFonts w:hint="eastAsia" w:ascii="仿宋_GB2312" w:hAnsi="仿宋_GB2312" w:eastAsia="仿宋_GB2312" w:cs="仿宋_GB2312"/>
          <w:sz w:val="32"/>
          <w:szCs w:val="32"/>
          <w:lang w:val="en-US" w:eastAsia="zh-CN"/>
        </w:rPr>
        <w:t>松财绩</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704</w:t>
      </w:r>
      <w:r>
        <w:rPr>
          <w:rFonts w:hint="eastAsia" w:ascii="仿宋_GB2312" w:hAnsi="仿宋_GB2312" w:eastAsia="仿宋_GB2312" w:cs="仿宋_GB2312"/>
          <w:sz w:val="32"/>
          <w:szCs w:val="32"/>
        </w:rPr>
        <w:t>号</w:t>
      </w:r>
      <w:r>
        <w:rPr>
          <w:rFonts w:hint="eastAsia" w:ascii="仿宋_GB2312" w:eastAsia="仿宋_GB2312" w:hAnsiTheme="minorEastAsia"/>
          <w:b w:val="0"/>
          <w:bCs w:val="0"/>
          <w:sz w:val="32"/>
          <w:szCs w:val="32"/>
          <w:lang w:val="en-US" w:eastAsia="zh-CN"/>
        </w:rPr>
        <w:t>）部署落实</w:t>
      </w:r>
      <w:r>
        <w:rPr>
          <w:rFonts w:hint="eastAsia" w:ascii="仿宋_GB2312" w:eastAsia="仿宋_GB2312" w:hAnsiTheme="minorEastAsia"/>
          <w:sz w:val="32"/>
          <w:szCs w:val="32"/>
          <w:lang w:val="en-US" w:eastAsia="zh-CN"/>
        </w:rPr>
        <w:t>部门预算绩效运行监控工作。各部门通过绩效监控分析偏离绩效目标或预算执行进度慢的原因，及时按规定程序进行调调整。市财政局对绩效监控结果进行审核、分析，对发现的问题和风险进行研判，并督促部门进行整改。</w:t>
      </w:r>
    </w:p>
    <w:p w14:paraId="272396E9">
      <w:pPr>
        <w:ind w:firstLine="640" w:firstLineChars="200"/>
        <w:rPr>
          <w:rFonts w:hint="eastAsia" w:ascii="仿宋_GB2312" w:hAnsi="仿宋_GB2312" w:eastAsia="仿宋_GB2312" w:cs="仿宋_GB2312"/>
          <w:sz w:val="32"/>
          <w:szCs w:val="32"/>
          <w:highlight w:val="none"/>
          <w:lang w:eastAsia="zh-CN"/>
        </w:rPr>
      </w:pPr>
      <w:r>
        <w:rPr>
          <w:rFonts w:hint="eastAsia" w:ascii="仿宋_GB2312" w:eastAsia="仿宋_GB2312" w:hAnsiTheme="minorEastAsia"/>
          <w:sz w:val="32"/>
          <w:szCs w:val="32"/>
          <w:lang w:val="en-US" w:eastAsia="zh-CN"/>
        </w:rPr>
        <w:t>3.开展绩效评价工作。</w:t>
      </w:r>
      <w:r>
        <w:rPr>
          <w:rFonts w:hint="eastAsia" w:ascii="仿宋_GB2312" w:eastAsia="仿宋_GB2312" w:hAnsiTheme="minorEastAsia"/>
          <w:b/>
          <w:bCs/>
          <w:sz w:val="32"/>
          <w:szCs w:val="32"/>
          <w:lang w:val="en-US" w:eastAsia="zh-CN"/>
        </w:rPr>
        <w:t>一是</w:t>
      </w:r>
      <w:r>
        <w:rPr>
          <w:rFonts w:hint="eastAsia" w:ascii="仿宋_GB2312" w:eastAsia="仿宋_GB2312" w:hAnsiTheme="minorEastAsia"/>
          <w:b w:val="0"/>
          <w:bCs w:val="0"/>
          <w:sz w:val="32"/>
          <w:szCs w:val="32"/>
          <w:lang w:val="en-US" w:eastAsia="zh-CN"/>
        </w:rPr>
        <w:t>部署</w:t>
      </w:r>
      <w:r>
        <w:rPr>
          <w:rFonts w:hint="eastAsia" w:ascii="仿宋_GB2312" w:eastAsia="仿宋_GB2312" w:hAnsiTheme="minorEastAsia"/>
          <w:sz w:val="32"/>
          <w:szCs w:val="32"/>
          <w:lang w:val="en-US" w:eastAsia="zh-CN"/>
        </w:rPr>
        <w:t>开展部门绩效自评工作。下发《关于开展2023年度绩效自评工作的通知》，要求各部门及时开展绩效自评工作，确保绩效自评工作高质量完成。</w:t>
      </w:r>
      <w:r>
        <w:rPr>
          <w:rFonts w:hint="eastAsia" w:ascii="仿宋_GB2312" w:eastAsia="仿宋_GB2312" w:hAnsiTheme="minorEastAsia"/>
          <w:b/>
          <w:bCs/>
          <w:sz w:val="32"/>
          <w:szCs w:val="32"/>
          <w:lang w:val="en-US" w:eastAsia="zh-CN"/>
        </w:rPr>
        <w:t>二是</w:t>
      </w:r>
      <w:r>
        <w:rPr>
          <w:rFonts w:hint="eastAsia" w:ascii="仿宋_GB2312" w:eastAsia="仿宋_GB2312" w:hAnsiTheme="minorEastAsia"/>
          <w:sz w:val="32"/>
          <w:szCs w:val="32"/>
          <w:lang w:val="en-US" w:eastAsia="zh-CN"/>
        </w:rPr>
        <w:t>开展财政绩效评价工作。下发《关于开展2023年度部门整体支出和重点项目支出绩效评价工作的通知》，</w:t>
      </w:r>
      <w:r>
        <w:rPr>
          <w:rFonts w:hint="eastAsia" w:ascii="仿宋_GB2312" w:eastAsia="仿宋_GB2312" w:hAnsiTheme="majorEastAsia"/>
          <w:sz w:val="32"/>
          <w:szCs w:val="32"/>
        </w:rPr>
        <w:t>对市直</w:t>
      </w:r>
      <w:r>
        <w:rPr>
          <w:rFonts w:hint="eastAsia" w:ascii="仿宋_GB2312" w:eastAsia="仿宋_GB2312" w:hAnsiTheme="majorEastAsia"/>
          <w:sz w:val="32"/>
          <w:szCs w:val="32"/>
          <w:lang w:val="en-US" w:eastAsia="zh-CN"/>
        </w:rPr>
        <w:t>77</w:t>
      </w:r>
      <w:r>
        <w:rPr>
          <w:rFonts w:hint="eastAsia" w:ascii="仿宋_GB2312" w:eastAsia="仿宋_GB2312" w:hAnsiTheme="majorEastAsia"/>
          <w:sz w:val="32"/>
          <w:szCs w:val="32"/>
        </w:rPr>
        <w:t>个部门的整体支出开展全覆盖的绩效评价工作，</w:t>
      </w:r>
      <w:r>
        <w:rPr>
          <w:rFonts w:hint="eastAsia" w:ascii="仿宋_GB2312" w:hAnsi="仿宋_GB2312" w:eastAsia="仿宋_GB2312" w:cs="仿宋_GB2312"/>
          <w:sz w:val="32"/>
          <w:szCs w:val="32"/>
        </w:rPr>
        <w:t>涉及财政资金总额</w:t>
      </w:r>
      <w:r>
        <w:rPr>
          <w:rFonts w:hint="eastAsia" w:ascii="仿宋_GB2312" w:hAnsi="仿宋_GB2312" w:eastAsia="仿宋_GB2312" w:cs="仿宋_GB2312"/>
          <w:sz w:val="32"/>
          <w:szCs w:val="32"/>
          <w:highlight w:val="none"/>
          <w:lang w:val="en-US" w:eastAsia="zh-CN"/>
        </w:rPr>
        <w:t>40.89</w:t>
      </w:r>
      <w:r>
        <w:rPr>
          <w:rFonts w:hint="eastAsia" w:ascii="仿宋_GB2312" w:hAnsi="仿宋_GB2312" w:eastAsia="仿宋_GB2312" w:cs="仿宋_GB2312"/>
          <w:sz w:val="32"/>
          <w:szCs w:val="32"/>
        </w:rPr>
        <w:t>亿元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77个部门</w:t>
      </w:r>
      <w:r>
        <w:rPr>
          <w:rFonts w:hint="eastAsia" w:ascii="仿宋_GB2312" w:hAnsi="仿宋_GB2312" w:eastAsia="仿宋_GB2312" w:cs="仿宋_GB2312"/>
          <w:sz w:val="32"/>
          <w:szCs w:val="32"/>
          <w:highlight w:val="none"/>
        </w:rPr>
        <w:t>平均得分</w:t>
      </w:r>
      <w:r>
        <w:rPr>
          <w:rFonts w:hint="eastAsia" w:ascii="仿宋_GB2312" w:hAnsi="仿宋_GB2312" w:eastAsia="仿宋_GB2312" w:cs="仿宋_GB2312"/>
          <w:sz w:val="32"/>
          <w:szCs w:val="32"/>
          <w:highlight w:val="none"/>
          <w:lang w:val="en-US" w:eastAsia="zh-CN"/>
        </w:rPr>
        <w:t>80.29分</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其中：</w:t>
      </w:r>
      <w:r>
        <w:rPr>
          <w:rFonts w:hint="eastAsia" w:ascii="仿宋_GB2312" w:hAnsi="仿宋_GB2312" w:eastAsia="仿宋_GB2312" w:cs="仿宋_GB2312"/>
          <w:sz w:val="32"/>
          <w:szCs w:val="32"/>
          <w:highlight w:val="none"/>
        </w:rPr>
        <w:t>评分在90（含）-100分之间，等级为优的部门</w:t>
      </w:r>
      <w:r>
        <w:rPr>
          <w:rFonts w:hint="eastAsia" w:ascii="仿宋_GB2312" w:hAnsi="仿宋_GB2312" w:eastAsia="仿宋_GB2312" w:cs="仿宋_GB2312"/>
          <w:sz w:val="32"/>
          <w:szCs w:val="32"/>
          <w:highlight w:val="none"/>
          <w:lang w:val="en-US" w:eastAsia="zh-CN"/>
        </w:rPr>
        <w:t>6</w:t>
      </w:r>
      <w:r>
        <w:rPr>
          <w:rFonts w:hint="eastAsia" w:ascii="仿宋_GB2312" w:hAnsi="仿宋_GB2312" w:eastAsia="仿宋_GB2312" w:cs="仿宋_GB2312"/>
          <w:sz w:val="32"/>
          <w:szCs w:val="32"/>
          <w:highlight w:val="none"/>
        </w:rPr>
        <w:t>个</w:t>
      </w:r>
      <w:r>
        <w:rPr>
          <w:rFonts w:hint="eastAsia" w:ascii="仿宋_GB2312" w:hAnsi="仿宋_GB2312" w:eastAsia="仿宋_GB2312" w:cs="仿宋_GB2312"/>
          <w:sz w:val="32"/>
          <w:szCs w:val="32"/>
          <w:highlight w:val="none"/>
          <w:lang w:eastAsia="zh-CN"/>
        </w:rPr>
        <w:t>，占比</w:t>
      </w:r>
      <w:r>
        <w:rPr>
          <w:rFonts w:hint="eastAsia" w:ascii="仿宋_GB2312" w:hAnsi="仿宋_GB2312" w:eastAsia="仿宋_GB2312" w:cs="仿宋_GB2312"/>
          <w:sz w:val="32"/>
          <w:szCs w:val="32"/>
          <w:highlight w:val="none"/>
          <w:lang w:val="en-US" w:eastAsia="zh-CN"/>
        </w:rPr>
        <w:t>7.79%</w:t>
      </w:r>
      <w:r>
        <w:rPr>
          <w:rFonts w:hint="eastAsia" w:ascii="仿宋_GB2312" w:hAnsi="仿宋_GB2312" w:eastAsia="仿宋_GB2312" w:cs="仿宋_GB2312"/>
          <w:sz w:val="32"/>
          <w:szCs w:val="32"/>
          <w:highlight w:val="none"/>
        </w:rPr>
        <w:t>；评分在80（含）-90分，等级为良的部门</w:t>
      </w:r>
      <w:r>
        <w:rPr>
          <w:rFonts w:hint="eastAsia" w:ascii="仿宋_GB2312" w:hAnsi="仿宋_GB2312" w:eastAsia="仿宋_GB2312" w:cs="仿宋_GB2312"/>
          <w:sz w:val="32"/>
          <w:szCs w:val="32"/>
          <w:highlight w:val="none"/>
          <w:lang w:val="en-US" w:eastAsia="zh-CN"/>
        </w:rPr>
        <w:t>36</w:t>
      </w:r>
      <w:r>
        <w:rPr>
          <w:rFonts w:hint="eastAsia" w:ascii="仿宋_GB2312" w:hAnsi="仿宋_GB2312" w:eastAsia="仿宋_GB2312" w:cs="仿宋_GB2312"/>
          <w:sz w:val="32"/>
          <w:szCs w:val="32"/>
          <w:highlight w:val="none"/>
        </w:rPr>
        <w:t>个</w:t>
      </w:r>
      <w:r>
        <w:rPr>
          <w:rFonts w:hint="eastAsia" w:ascii="仿宋_GB2312" w:hAnsi="仿宋_GB2312" w:eastAsia="仿宋_GB2312" w:cs="仿宋_GB2312"/>
          <w:sz w:val="32"/>
          <w:szCs w:val="32"/>
          <w:highlight w:val="none"/>
          <w:lang w:eastAsia="zh-CN"/>
        </w:rPr>
        <w:t>，占比</w:t>
      </w:r>
      <w:r>
        <w:rPr>
          <w:rFonts w:hint="eastAsia" w:ascii="仿宋_GB2312" w:hAnsi="仿宋_GB2312" w:eastAsia="仿宋_GB2312" w:cs="仿宋_GB2312"/>
          <w:sz w:val="32"/>
          <w:szCs w:val="32"/>
          <w:highlight w:val="none"/>
          <w:lang w:val="en-US" w:eastAsia="zh-CN"/>
        </w:rPr>
        <w:t>46.75%</w:t>
      </w:r>
      <w:r>
        <w:rPr>
          <w:rFonts w:hint="eastAsia" w:ascii="仿宋_GB2312" w:hAnsi="仿宋_GB2312" w:eastAsia="仿宋_GB2312" w:cs="仿宋_GB2312"/>
          <w:sz w:val="32"/>
          <w:szCs w:val="32"/>
          <w:highlight w:val="none"/>
        </w:rPr>
        <w:t>；评分在60（含）-80分之间，等级为中的部门</w:t>
      </w:r>
      <w:r>
        <w:rPr>
          <w:rFonts w:hint="eastAsia" w:ascii="仿宋_GB2312" w:hAnsi="仿宋_GB2312" w:eastAsia="仿宋_GB2312" w:cs="仿宋_GB2312"/>
          <w:sz w:val="32"/>
          <w:szCs w:val="32"/>
          <w:highlight w:val="none"/>
          <w:lang w:val="en-US" w:eastAsia="zh-CN"/>
        </w:rPr>
        <w:t>35</w:t>
      </w:r>
      <w:r>
        <w:rPr>
          <w:rFonts w:hint="eastAsia" w:ascii="仿宋_GB2312" w:hAnsi="仿宋_GB2312" w:eastAsia="仿宋_GB2312" w:cs="仿宋_GB2312"/>
          <w:sz w:val="32"/>
          <w:szCs w:val="32"/>
          <w:highlight w:val="none"/>
        </w:rPr>
        <w:t>个</w:t>
      </w:r>
      <w:r>
        <w:rPr>
          <w:rFonts w:hint="eastAsia" w:ascii="仿宋_GB2312" w:hAnsi="仿宋_GB2312" w:eastAsia="仿宋_GB2312" w:cs="仿宋_GB2312"/>
          <w:sz w:val="32"/>
          <w:szCs w:val="32"/>
          <w:highlight w:val="none"/>
          <w:lang w:eastAsia="zh-CN"/>
        </w:rPr>
        <w:t>，占比</w:t>
      </w:r>
      <w:r>
        <w:rPr>
          <w:rFonts w:hint="eastAsia" w:ascii="仿宋_GB2312" w:hAnsi="仿宋_GB2312" w:eastAsia="仿宋_GB2312" w:cs="仿宋_GB2312"/>
          <w:sz w:val="32"/>
          <w:szCs w:val="32"/>
          <w:highlight w:val="none"/>
          <w:lang w:val="en-US" w:eastAsia="zh-CN"/>
        </w:rPr>
        <w:t>45.45%</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rPr>
        <w:t>优、良等级占全部等级比例为</w:t>
      </w:r>
      <w:r>
        <w:rPr>
          <w:rFonts w:hint="eastAsia" w:ascii="仿宋_GB2312" w:hAnsi="仿宋_GB2312" w:eastAsia="仿宋_GB2312" w:cs="仿宋_GB2312"/>
          <w:sz w:val="32"/>
          <w:szCs w:val="32"/>
          <w:lang w:val="en-US" w:eastAsia="zh-CN"/>
        </w:rPr>
        <w:t>54.55</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较2022年优良比下降41.45%，主要原因是各部门绩效管理水平通过前三年的强化管理已得到大幅提升，原有评价指标体系已不适应绩效管理新要求</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相关指标需要修改、完善、提高</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lang w:val="en-US" w:eastAsia="zh-CN"/>
        </w:rPr>
        <w:t>自今年开始，对原评价体系进行了修改，制定了较以前年度更高标准的评价体系，导致优良比例有所下降。新绩效评价体系的建立，将</w:t>
      </w:r>
      <w:r>
        <w:rPr>
          <w:rFonts w:hint="eastAsia" w:ascii="仿宋_GB2312" w:hAnsi="仿宋_GB2312" w:eastAsia="仿宋_GB2312" w:cs="仿宋_GB2312"/>
          <w:sz w:val="32"/>
          <w:szCs w:val="32"/>
          <w:highlight w:val="none"/>
          <w:lang w:val="en-US" w:eastAsia="zh-CN"/>
        </w:rPr>
        <w:t>有效促进</w:t>
      </w:r>
      <w:r>
        <w:rPr>
          <w:rFonts w:hint="eastAsia" w:ascii="仿宋_GB2312" w:hAnsi="仿宋_GB2312" w:eastAsia="仿宋_GB2312" w:cs="仿宋_GB2312"/>
          <w:sz w:val="32"/>
          <w:szCs w:val="32"/>
          <w:highlight w:val="none"/>
          <w:lang w:eastAsia="zh-CN"/>
        </w:rPr>
        <w:t>部门预算绩效管理能力</w:t>
      </w:r>
      <w:r>
        <w:rPr>
          <w:rFonts w:hint="eastAsia" w:ascii="仿宋_GB2312" w:hAnsi="仿宋_GB2312" w:eastAsia="仿宋_GB2312" w:cs="仿宋_GB2312"/>
          <w:sz w:val="32"/>
          <w:szCs w:val="32"/>
          <w:highlight w:val="none"/>
          <w:lang w:val="en-US" w:eastAsia="zh-CN"/>
        </w:rPr>
        <w:t>持续提升</w:t>
      </w:r>
      <w:r>
        <w:rPr>
          <w:rFonts w:hint="eastAsia" w:ascii="仿宋_GB2312" w:hAnsi="仿宋_GB2312" w:eastAsia="仿宋_GB2312" w:cs="仿宋_GB2312"/>
          <w:sz w:val="32"/>
          <w:szCs w:val="32"/>
          <w:highlight w:val="none"/>
          <w:lang w:eastAsia="zh-CN"/>
        </w:rPr>
        <w:t>。</w:t>
      </w:r>
    </w:p>
    <w:p w14:paraId="1C87D6DB">
      <w:pPr>
        <w:ind w:firstLine="640" w:firstLineChars="200"/>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4.结果运用。为切实推动部门提高绩效管理工作，我们创新激励方法，以部门整体支出评价结果为依据，实施定向补助机制，对整体支出绩效评价结果为“优秀”等级的部门实施公用经费补助，2024年，共发放补助资金40.12万元。</w:t>
      </w:r>
    </w:p>
    <w:p w14:paraId="2799956D">
      <w:pPr>
        <w:ind w:firstLine="645"/>
        <w:jc w:val="left"/>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二、从源头入手，强化绩效目标管理</w:t>
      </w:r>
    </w:p>
    <w:p w14:paraId="2F48CB82">
      <w:pPr>
        <w:ind w:firstLine="645"/>
        <w:jc w:val="left"/>
        <w:rPr>
          <w:rFonts w:hint="eastAsia" w:ascii="仿宋_GB2312" w:eastAsia="仿宋_GB2312" w:hAnsiTheme="minorEastAsia"/>
          <w:sz w:val="32"/>
          <w:szCs w:val="32"/>
          <w:lang w:val="en-US" w:eastAsia="zh-CN"/>
        </w:rPr>
      </w:pPr>
      <w:r>
        <w:rPr>
          <w:rFonts w:hint="eastAsia" w:ascii="仿宋_GB2312" w:eastAsia="仿宋_GB2312" w:hAnsiTheme="minorEastAsia"/>
          <w:sz w:val="32"/>
          <w:szCs w:val="32"/>
          <w:lang w:val="en-US" w:eastAsia="zh-CN"/>
        </w:rPr>
        <w:t>为做好绩效管理源头工作，我们从强化绩效目标管理入手，利用第三方专业技术优势，对市直77个部门整体支出和项目支出绩效目标进行审核，确保绩效目标设置科学、合理、客观、公正，为全面实施绩效管理奠定基础。</w:t>
      </w:r>
    </w:p>
    <w:p w14:paraId="0266FCA9">
      <w:pPr>
        <w:ind w:firstLine="645"/>
        <w:jc w:val="left"/>
        <w:rPr>
          <w:rFonts w:hint="eastAsia" w:ascii="仿宋_GB2312" w:eastAsia="仿宋_GB2312" w:hAnsiTheme="minorEastAsia"/>
          <w:sz w:val="32"/>
          <w:szCs w:val="32"/>
          <w:lang w:val="en-US" w:eastAsia="zh-CN"/>
        </w:rPr>
      </w:pPr>
      <w:r>
        <w:rPr>
          <w:rFonts w:hint="eastAsia" w:ascii="仿宋_GB2312" w:eastAsia="仿宋_GB2312" w:hAnsiTheme="minorEastAsia"/>
          <w:sz w:val="32"/>
          <w:szCs w:val="32"/>
          <w:lang w:val="en-US" w:eastAsia="zh-CN"/>
        </w:rPr>
        <w:t>一是下发《关于对2024年部门整体支出和项目支出绩效目标进行审核的通知》，要求市直各部门以部门为单位，汇总各部门预算项目绩效目标申报表，统一打包发给第三方。</w:t>
      </w:r>
    </w:p>
    <w:p w14:paraId="4DC81B84">
      <w:pPr>
        <w:ind w:firstLine="645"/>
        <w:jc w:val="left"/>
        <w:rPr>
          <w:rFonts w:hint="eastAsia" w:ascii="仿宋_GB2312" w:eastAsia="仿宋_GB2312" w:hAnsiTheme="minorEastAsia"/>
          <w:sz w:val="32"/>
          <w:szCs w:val="32"/>
          <w:lang w:val="en-US" w:eastAsia="zh-CN"/>
        </w:rPr>
      </w:pPr>
      <w:r>
        <w:rPr>
          <w:rFonts w:hint="eastAsia" w:ascii="仿宋_GB2312" w:eastAsia="仿宋_GB2312" w:hAnsiTheme="minorEastAsia"/>
          <w:sz w:val="32"/>
          <w:szCs w:val="32"/>
          <w:lang w:val="en-US" w:eastAsia="zh-CN"/>
        </w:rPr>
        <w:t>二是由第三方对各部门提交的项目支出绩效目标申报表，逐一审核，提出修改意见，反馈给相关部门。</w:t>
      </w:r>
    </w:p>
    <w:p w14:paraId="77942538">
      <w:pPr>
        <w:ind w:firstLine="645"/>
        <w:jc w:val="left"/>
        <w:rPr>
          <w:rFonts w:hint="default" w:ascii="仿宋_GB2312" w:eastAsia="仿宋_GB2312" w:hAnsiTheme="minorEastAsia"/>
          <w:sz w:val="32"/>
          <w:szCs w:val="32"/>
          <w:lang w:val="en-US" w:eastAsia="zh-CN"/>
        </w:rPr>
      </w:pPr>
      <w:r>
        <w:rPr>
          <w:rFonts w:hint="eastAsia" w:ascii="仿宋_GB2312" w:eastAsia="仿宋_GB2312" w:hAnsiTheme="minorEastAsia"/>
          <w:sz w:val="32"/>
          <w:szCs w:val="32"/>
          <w:lang w:val="en-US" w:eastAsia="zh-CN"/>
        </w:rPr>
        <w:t>三是相关部门按照第三方的修改意见，逐一修改完善项目支出绩效目标申报表，然后在预算“一体化”系统中对绩效目标进行调整。</w:t>
      </w:r>
    </w:p>
    <w:p w14:paraId="352A3AB6">
      <w:pPr>
        <w:numPr>
          <w:ilvl w:val="0"/>
          <w:numId w:val="0"/>
        </w:numPr>
        <w:ind w:firstLine="640" w:firstLineChars="200"/>
        <w:jc w:val="left"/>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三、创新开展绩效自评质量再评价</w:t>
      </w:r>
    </w:p>
    <w:p w14:paraId="23FFB5C2">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为确保各部门绩效自评工作高质量完成，我们创新绩效管理方法，下发《关于对2023年部门整体支出和项目支出绩效自评质量进行评价的通知》，开展部门绩效自评质量再评价。</w:t>
      </w:r>
    </w:p>
    <w:p w14:paraId="25D5548D">
      <w:pPr>
        <w:numPr>
          <w:ilvl w:val="0"/>
          <w:numId w:val="0"/>
        </w:numPr>
        <w:ind w:firstLine="643"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sz w:val="32"/>
          <w:szCs w:val="32"/>
          <w:lang w:val="en-US" w:eastAsia="zh-CN"/>
        </w:rPr>
        <w:t>一是</w:t>
      </w:r>
      <w:r>
        <w:rPr>
          <w:rFonts w:hint="eastAsia" w:ascii="仿宋_GB2312" w:hAnsi="仿宋_GB2312" w:eastAsia="仿宋_GB2312" w:cs="仿宋_GB2312"/>
          <w:b w:val="0"/>
          <w:bCs w:val="0"/>
          <w:sz w:val="32"/>
          <w:szCs w:val="32"/>
          <w:lang w:val="en-US" w:eastAsia="zh-CN"/>
        </w:rPr>
        <w:t>聘请专业机构开展再评价。为确保绩效自评质量，我们聘请第三方，在部门绩效自评的基础上开展绩效自评质量再评价。由第三方依托预算“一体化”平台采集各部门上传的相关信息，根据设定的评价指标进行赋分，评价采取百分制，按照综合得分将评分结果设定为优秀、良好、一般、较差四个等级。</w:t>
      </w:r>
    </w:p>
    <w:p w14:paraId="307F84A9">
      <w:pPr>
        <w:numPr>
          <w:ilvl w:val="0"/>
          <w:numId w:val="0"/>
        </w:numPr>
        <w:ind w:firstLine="643"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sz w:val="32"/>
          <w:szCs w:val="32"/>
          <w:lang w:val="en-US" w:eastAsia="zh-CN"/>
        </w:rPr>
        <w:t>二是</w:t>
      </w:r>
      <w:r>
        <w:rPr>
          <w:rFonts w:hint="eastAsia" w:ascii="仿宋_GB2312" w:hAnsi="仿宋_GB2312" w:eastAsia="仿宋_GB2312" w:cs="仿宋_GB2312"/>
          <w:b w:val="0"/>
          <w:bCs w:val="0"/>
          <w:sz w:val="32"/>
          <w:szCs w:val="32"/>
          <w:lang w:val="en-US" w:eastAsia="zh-CN"/>
        </w:rPr>
        <w:t>通报评价结果。根据第三方评价结果（项目编号JXPJ-XM-2024039），下发了《关于对2023年部门整体支出和项目支出绩效自评质量再评价结果的通报》，通报中对获得“优秀”等级的单位予以公布，鼓励先进，鞭策落后。同时，对评价结果进行了分析，对存在的问题进行了通报，并提出了相关建议。</w:t>
      </w:r>
    </w:p>
    <w:p w14:paraId="225B50BB">
      <w:pPr>
        <w:numPr>
          <w:ilvl w:val="0"/>
          <w:numId w:val="0"/>
        </w:numPr>
        <w:ind w:firstLine="643"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sz w:val="32"/>
          <w:szCs w:val="32"/>
          <w:lang w:val="en-US" w:eastAsia="zh-CN"/>
        </w:rPr>
        <w:t>三是</w:t>
      </w:r>
      <w:r>
        <w:rPr>
          <w:rFonts w:hint="eastAsia" w:ascii="仿宋_GB2312" w:hAnsi="仿宋_GB2312" w:eastAsia="仿宋_GB2312" w:cs="仿宋_GB2312"/>
          <w:b w:val="0"/>
          <w:bCs w:val="0"/>
          <w:sz w:val="32"/>
          <w:szCs w:val="32"/>
          <w:lang w:val="en-US" w:eastAsia="zh-CN"/>
        </w:rPr>
        <w:t>及时整改。对评价结果为“较差”的部门，我们下发《关于对2023年部门整体支出和项目支出绩效自评存在问题进行整改的通知》（松财绩函〔2024〕51号），要求相关部门对照评价报告中的扣分项，逐一进行整改，并要求各相关部门上报整改报告。</w:t>
      </w:r>
    </w:p>
    <w:p w14:paraId="3C801EE7">
      <w:pPr>
        <w:numPr>
          <w:ilvl w:val="0"/>
          <w:numId w:val="0"/>
        </w:numPr>
        <w:ind w:firstLine="643" w:firstLineChars="200"/>
        <w:jc w:val="left"/>
        <w:rPr>
          <w:rFonts w:hint="default"/>
          <w:lang w:val="en-US" w:eastAsia="zh-CN"/>
        </w:rPr>
      </w:pPr>
      <w:r>
        <w:rPr>
          <w:rFonts w:hint="eastAsia" w:ascii="仿宋_GB2312" w:hAnsi="仿宋_GB2312" w:eastAsia="仿宋_GB2312" w:cs="仿宋_GB2312"/>
          <w:b/>
          <w:bCs/>
          <w:sz w:val="32"/>
          <w:szCs w:val="32"/>
          <w:lang w:val="en-US" w:eastAsia="zh-CN"/>
        </w:rPr>
        <w:t>四是</w:t>
      </w:r>
      <w:r>
        <w:rPr>
          <w:rFonts w:hint="eastAsia" w:ascii="仿宋_GB2312" w:hAnsi="仿宋_GB2312" w:eastAsia="仿宋_GB2312" w:cs="仿宋_GB2312"/>
          <w:b w:val="0"/>
          <w:bCs w:val="0"/>
          <w:sz w:val="32"/>
          <w:szCs w:val="32"/>
          <w:lang w:val="en-US" w:eastAsia="zh-CN"/>
        </w:rPr>
        <w:t>结果运用。为提高绩效自评工作质量，推动部门预算绩效管理水平，将再评价结果将作为部门整体支出绩效评价扣分项，从而推动部门提高整体支出绩效评价质量。</w:t>
      </w:r>
    </w:p>
    <w:p w14:paraId="69BBCAC4">
      <w:pPr>
        <w:numPr>
          <w:ilvl w:val="0"/>
          <w:numId w:val="0"/>
        </w:numPr>
        <w:ind w:firstLine="640" w:firstLineChars="200"/>
        <w:jc w:val="left"/>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四、精准培训，提高部门预算绩效管理水平</w:t>
      </w:r>
    </w:p>
    <w:p w14:paraId="075EB5E1">
      <w:pPr>
        <w:numPr>
          <w:ilvl w:val="0"/>
          <w:numId w:val="0"/>
        </w:numPr>
        <w:ind w:firstLine="640" w:firstLineChars="200"/>
        <w:jc w:val="left"/>
        <w:rPr>
          <w:rFonts w:ascii="仿宋_GB2312" w:hAnsi="仿宋_GB2312" w:eastAsia="仿宋_GB2312" w:cs="仿宋_GB2312"/>
          <w:sz w:val="32"/>
          <w:szCs w:val="32"/>
        </w:rPr>
      </w:pPr>
      <w:r>
        <w:rPr>
          <w:rFonts w:hint="eastAsia" w:ascii="仿宋_GB2312" w:eastAsia="仿宋_GB2312" w:hAnsiTheme="minorEastAsia"/>
          <w:b w:val="0"/>
          <w:bCs w:val="0"/>
          <w:sz w:val="32"/>
          <w:szCs w:val="32"/>
          <w:lang w:val="en-US" w:eastAsia="zh-CN"/>
        </w:rPr>
        <w:t>为提升部门预算绩效管理水平，夯实预算绩效管理基础，持续提高部门绩</w:t>
      </w:r>
      <w:r>
        <w:rPr>
          <w:rFonts w:hint="eastAsia" w:ascii="仿宋_GB2312" w:hAnsi="仿宋_GB2312" w:eastAsia="仿宋_GB2312" w:cs="仿宋_GB2312"/>
          <w:b w:val="0"/>
          <w:bCs w:val="0"/>
          <w:sz w:val="32"/>
          <w:szCs w:val="32"/>
          <w:lang w:val="en-US" w:eastAsia="zh-CN"/>
        </w:rPr>
        <w:t>效管理人员业务能力，我们有针对性开展绩效管理业务培训。11月19日，在</w:t>
      </w:r>
      <w:r>
        <w:rPr>
          <w:rFonts w:hint="eastAsia" w:ascii="仿宋_GB2312" w:hAnsi="仿宋_GB2312" w:eastAsia="仿宋_GB2312" w:cs="仿宋_GB2312"/>
          <w:sz w:val="32"/>
          <w:szCs w:val="32"/>
        </w:rPr>
        <w:t>市</w:t>
      </w:r>
      <w:r>
        <w:rPr>
          <w:rFonts w:hint="eastAsia" w:ascii="仿宋_GB2312" w:hAnsi="仿宋_GB2312" w:eastAsia="仿宋_GB2312" w:cs="仿宋_GB2312"/>
          <w:sz w:val="32"/>
          <w:szCs w:val="32"/>
          <w:lang w:val="en-US" w:eastAsia="zh-CN"/>
        </w:rPr>
        <w:t>委党校教学综合楼</w:t>
      </w:r>
      <w:r>
        <w:rPr>
          <w:rFonts w:hint="eastAsia" w:ascii="仿宋_GB2312" w:hAnsi="仿宋_GB2312" w:eastAsia="仿宋_GB2312" w:cs="仿宋_GB2312"/>
          <w:b w:val="0"/>
          <w:bCs w:val="0"/>
          <w:sz w:val="32"/>
          <w:szCs w:val="32"/>
          <w:lang w:val="en-US" w:eastAsia="zh-CN"/>
        </w:rPr>
        <w:t>举办了《松原市2024年度预算绩效管理业务培训班》，市直各部门共有207人次参加了培训。为做好培训，我</w:t>
      </w:r>
      <w:r>
        <w:rPr>
          <w:rFonts w:hint="eastAsia" w:ascii="仿宋_GB2312" w:eastAsia="仿宋_GB2312" w:hAnsiTheme="minorEastAsia"/>
          <w:b w:val="0"/>
          <w:bCs w:val="0"/>
          <w:sz w:val="32"/>
          <w:szCs w:val="32"/>
          <w:lang w:val="en-US" w:eastAsia="zh-CN"/>
        </w:rPr>
        <w:t>们聘请省内绩效管理领域专家，就绩效管理中的绩效目标设定、事前绩效评估、事中监控、事后评价等内容进行了详细讲解，帮助学员进一步理清预算绩效管理各环节的操作流程。同时，通过列举大量案例，生动直观地演示了绩效目标、指标的设定方法。在课堂提问环节，以问题为导向，现场为学员精准解答。本次培训人员，涵盖部门项目管理、财务管理等预算绩效管理领域相关人员。会前，我们与授课教师共同研究，确定了以绩效目标设定、绩效评估、绩效自评填报为核心的培训方案，确保学以致用。</w:t>
      </w:r>
    </w:p>
    <w:p w14:paraId="15DCAE67">
      <w:pPr>
        <w:ind w:firstLine="627" w:firstLineChars="196"/>
        <w:rPr>
          <w:rFonts w:ascii="黑体" w:hAnsi="黑体" w:eastAsia="黑体"/>
          <w:sz w:val="32"/>
          <w:szCs w:val="32"/>
        </w:rPr>
      </w:pPr>
      <w:r>
        <w:rPr>
          <w:rFonts w:hint="eastAsia" w:ascii="黑体" w:hAnsi="黑体" w:eastAsia="黑体"/>
          <w:sz w:val="32"/>
          <w:szCs w:val="32"/>
          <w:lang w:val="en-US" w:eastAsia="zh-CN"/>
        </w:rPr>
        <w:t>五</w:t>
      </w:r>
      <w:r>
        <w:rPr>
          <w:rFonts w:hint="eastAsia" w:ascii="黑体" w:hAnsi="黑体" w:eastAsia="黑体"/>
          <w:sz w:val="32"/>
          <w:szCs w:val="32"/>
        </w:rPr>
        <w:t>、及时上报和公开绩效评价结果</w:t>
      </w:r>
    </w:p>
    <w:p w14:paraId="1FF1C824">
      <w:pPr>
        <w:ind w:firstLine="627" w:firstLineChars="196"/>
        <w:rPr>
          <w:rFonts w:ascii="仿宋_GB2312" w:eastAsia="仿宋_GB2312" w:hAnsiTheme="minorEastAsia"/>
          <w:sz w:val="32"/>
          <w:szCs w:val="32"/>
        </w:rPr>
      </w:pPr>
      <w:r>
        <w:rPr>
          <w:rFonts w:hint="eastAsia" w:ascii="仿宋_GB2312" w:eastAsia="仿宋_GB2312" w:hAnsiTheme="minorEastAsia"/>
          <w:sz w:val="32"/>
          <w:szCs w:val="32"/>
        </w:rPr>
        <w:t>针对部门整体支出绩效评价结果，及时向市人大进行专门报告。同时，将部门整体支出绩效评价结果在相关网站上予以公开。</w:t>
      </w: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561AD7">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8720FB5">
                          <w:pPr>
                            <w:pStyle w:val="3"/>
                          </w:pPr>
                          <w:r>
                            <w:fldChar w:fldCharType="begin"/>
                          </w:r>
                          <w:r>
                            <w:instrText xml:space="preserve"> PAGE  \* MERGEFORMAT </w:instrText>
                          </w:r>
                          <w:r>
                            <w:fldChar w:fldCharType="separate"/>
                          </w:r>
                          <w:r>
                            <w:t>1</w:t>
                          </w:r>
                          <w: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tENd9csBAACcAwAADgAAAGRycy9lMm9Eb2MueG1srVPNjtMwEL4j8Q6W&#10;79RpJVAVNV3tqlqEhABp4QFcx24s+U8et0lfAN6AExfuPFefg7GTdGG57IFLMp6ZfPN9nyebm8Ea&#10;cpIRtHcNXS4qSqQTvtXu0NAvn+9frSmBxF3LjXeyoWcJ9Gb78sWmD7Vc+c6bVkaCIA7qPjS0SynU&#10;jIHopOWw8EE6LCofLU94jAfWRt4jujVsVVVvWO9jG6IXEgCzu7FIJ8T4HECvlBZy58XRSpdG1CgN&#10;TygJOh2AbgtbpaRIH5UCmYhpKCpN5YlDMN7nJ9tueH2IPHRaTBT4cyg80WS5djj0CrXjiZNj1P9A&#10;WS2iB6/SQnjLRiHFEVSxrJ5489DxIIsWtBrC1XT4f7Diw+lTJLrFTaDEcYsXfvn+7fLj1+XnV7Ks&#10;Vq+zQ32AGhsfAram4c4PuXvKAyaz8EFFm98oiWAd/T1f/ZVDIiJ/tF6t1xWWBNbmA+Kwx89DhPRW&#10;ekty0NCIF1h85af3kMbWuSVPc/5eG4N5Xhv3VwIxc4Zl7iPHHKVhP0zE9749o54e776hDledEvPO&#10;obV5TeYgzsF+Do4h6kOH1JaFF4TbY0IShVueMMJOg/HSirppwfJW/HkuXY8/1fY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LRDXfXLAQAAnAMAAA4AAAAAAAAAAQAgAAAAHgEAAGRycy9lMm9E&#10;b2MueG1sUEsFBgAAAAAGAAYAWQEAAFsFAAAAAA==&#10;">
              <v:fill on="f" focussize="0,0"/>
              <v:stroke on="f"/>
              <v:imagedata o:title=""/>
              <o:lock v:ext="edit" aspectratio="f"/>
              <v:textbox inset="0mm,0mm,0mm,0mm" style="mso-fit-shape-to-text:t;">
                <w:txbxContent>
                  <w:p w14:paraId="28720FB5">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JhZDQwZjhlNDAxNWU1Y2NjMjAyOWVmZTRiMjVjNTQifQ=="/>
  </w:docVars>
  <w:rsids>
    <w:rsidRoot w:val="0018086C"/>
    <w:rsid w:val="0018086C"/>
    <w:rsid w:val="00506828"/>
    <w:rsid w:val="08397D15"/>
    <w:rsid w:val="0B0B6736"/>
    <w:rsid w:val="101633EC"/>
    <w:rsid w:val="1177112D"/>
    <w:rsid w:val="16660238"/>
    <w:rsid w:val="171B1040"/>
    <w:rsid w:val="19DF58AF"/>
    <w:rsid w:val="1BC9738A"/>
    <w:rsid w:val="21997832"/>
    <w:rsid w:val="21D02A2F"/>
    <w:rsid w:val="2B5661A3"/>
    <w:rsid w:val="2CC82436"/>
    <w:rsid w:val="2D3B58BD"/>
    <w:rsid w:val="2E0501FF"/>
    <w:rsid w:val="30266377"/>
    <w:rsid w:val="33233CD9"/>
    <w:rsid w:val="380731BF"/>
    <w:rsid w:val="49B752AC"/>
    <w:rsid w:val="4FC21359"/>
    <w:rsid w:val="5321677C"/>
    <w:rsid w:val="58E10AA2"/>
    <w:rsid w:val="59E13974"/>
    <w:rsid w:val="61D72398"/>
    <w:rsid w:val="621D3B7F"/>
    <w:rsid w:val="64CD021D"/>
    <w:rsid w:val="67112E9A"/>
    <w:rsid w:val="672C5696"/>
    <w:rsid w:val="69497495"/>
    <w:rsid w:val="6EBA5A37"/>
    <w:rsid w:val="6EF914EB"/>
    <w:rsid w:val="7B7602F7"/>
  </w:rsids>
  <m:mathPr>
    <m:mathFont m:val="Cambria Math"/>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Indent 2"/>
    <w:basedOn w:val="1"/>
    <w:qFormat/>
    <w:uiPriority w:val="0"/>
    <w:pPr>
      <w:spacing w:after="120" w:afterLines="0" w:afterAutospacing="0" w:line="480" w:lineRule="auto"/>
      <w:ind w:left="420" w:leftChars="200"/>
    </w:pPr>
  </w:style>
  <w:style w:type="paragraph" w:styleId="3">
    <w:name w:val="footer"/>
    <w:basedOn w:val="1"/>
    <w:link w:val="9"/>
    <w:semiHidden/>
    <w:unhideWhenUsed/>
    <w:qFormat/>
    <w:uiPriority w:val="99"/>
    <w:pPr>
      <w:tabs>
        <w:tab w:val="center" w:pos="4153"/>
        <w:tab w:val="right" w:pos="8306"/>
      </w:tabs>
      <w:snapToGrid w:val="0"/>
      <w:jc w:val="left"/>
    </w:pPr>
    <w:rPr>
      <w:sz w:val="18"/>
      <w:szCs w:val="18"/>
    </w:rPr>
  </w:style>
  <w:style w:type="paragraph" w:styleId="4">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customStyle="1" w:styleId="7">
    <w:name w:val="列出段落1"/>
    <w:basedOn w:val="1"/>
    <w:qFormat/>
    <w:uiPriority w:val="34"/>
    <w:pPr>
      <w:ind w:firstLine="420" w:firstLineChars="200"/>
    </w:pPr>
  </w:style>
  <w:style w:type="character" w:customStyle="1" w:styleId="8">
    <w:name w:val="页眉 Char"/>
    <w:basedOn w:val="6"/>
    <w:link w:val="4"/>
    <w:qFormat/>
    <w:uiPriority w:val="99"/>
    <w:rPr>
      <w:sz w:val="18"/>
      <w:szCs w:val="18"/>
    </w:rPr>
  </w:style>
  <w:style w:type="character" w:customStyle="1" w:styleId="9">
    <w:name w:val="页脚 Char"/>
    <w:basedOn w:val="6"/>
    <w:link w:val="3"/>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2634</Words>
  <Characters>2768</Characters>
  <Lines>15</Lines>
  <Paragraphs>4</Paragraphs>
  <TotalTime>8</TotalTime>
  <ScaleCrop>false</ScaleCrop>
  <LinksUpToDate>false</LinksUpToDate>
  <CharactersWithSpaces>2768</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2021-08-09T06:49:00Z</dcterms:created>
  <dc:creator>Administrator</dc:creator>
  <cp:lastModifiedBy>Administrator</cp:lastModifiedBy>
  <dcterms:modified xsi:type="dcterms:W3CDTF">2025-09-10T08:44:56Z</dcterms:modified>
  <dc:title>2021年松原市本级预算绩效管理工作</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2501987710C9455F9CAFF73B8B35CC50_13</vt:lpwstr>
  </property>
  <property fmtid="{D5CDD505-2E9C-101B-9397-08002B2CF9AE}" pid="4" name="KSOTemplateDocerSaveRecord">
    <vt:lpwstr>eyJoZGlkIjoiNWNiYzkxNDlhNjMxZjdlZjVmMzYzODIxZGY2NjEwYmEifQ==</vt:lpwstr>
  </property>
</Properties>
</file>