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sz w:val="52"/>
          <w:szCs w:val="52"/>
        </w:rPr>
      </w:pPr>
    </w:p>
    <w:p>
      <w:pPr>
        <w:rPr>
          <w:rFonts w:hint="eastAsia" w:ascii="宋体" w:hAnsi="宋体" w:eastAsia="宋体" w:cs="宋体"/>
          <w:b/>
          <w:bCs/>
          <w:sz w:val="52"/>
          <w:szCs w:val="52"/>
        </w:rPr>
      </w:pPr>
    </w:p>
    <w:p>
      <w:pPr>
        <w:rPr>
          <w:rFonts w:hint="eastAsia" w:ascii="宋体" w:hAnsi="宋体" w:eastAsia="宋体" w:cs="宋体"/>
          <w:b/>
          <w:bCs/>
          <w:sz w:val="52"/>
          <w:szCs w:val="52"/>
        </w:rPr>
      </w:pPr>
    </w:p>
    <w:p>
      <w:pPr>
        <w:rPr>
          <w:rFonts w:hint="eastAsia" w:ascii="宋体" w:hAnsi="宋体" w:eastAsia="宋体" w:cs="宋体"/>
          <w:b/>
          <w:bCs/>
          <w:sz w:val="52"/>
          <w:szCs w:val="52"/>
        </w:rPr>
      </w:pPr>
    </w:p>
    <w:p>
      <w:pPr>
        <w:jc w:val="center"/>
        <w:rPr>
          <w:rFonts w:hint="eastAsia" w:ascii="宋体" w:hAnsi="宋体" w:eastAsia="宋体" w:cs="宋体"/>
          <w:b/>
          <w:bCs/>
          <w:sz w:val="52"/>
          <w:szCs w:val="52"/>
        </w:rPr>
      </w:pPr>
      <w:r>
        <w:rPr>
          <w:rFonts w:hint="eastAsia" w:ascii="宋体" w:hAnsi="宋体" w:eastAsia="宋体" w:cs="宋体"/>
          <w:b/>
          <w:bCs/>
          <w:sz w:val="52"/>
          <w:szCs w:val="52"/>
        </w:rPr>
        <w:t>吉林油田运输小学2021年单位预算</w:t>
      </w:r>
    </w:p>
    <w:p>
      <w:pPr>
        <w:jc w:val="center"/>
        <w:rPr>
          <w:rFonts w:hint="eastAsia"/>
          <w:b/>
          <w:bCs/>
          <w:sz w:val="32"/>
          <w:szCs w:val="32"/>
        </w:rPr>
      </w:pPr>
    </w:p>
    <w:p>
      <w:pPr>
        <w:jc w:val="center"/>
        <w:rPr>
          <w:rFonts w:hint="eastAsia"/>
          <w:b/>
          <w:bCs/>
          <w:sz w:val="32"/>
          <w:szCs w:val="32"/>
        </w:rPr>
      </w:pPr>
    </w:p>
    <w:p>
      <w:pPr>
        <w:jc w:val="center"/>
        <w:rPr>
          <w:rFonts w:hint="eastAsia"/>
          <w:b/>
          <w:bCs/>
          <w:sz w:val="32"/>
          <w:szCs w:val="32"/>
        </w:rPr>
      </w:pPr>
    </w:p>
    <w:p>
      <w:pPr>
        <w:jc w:val="center"/>
        <w:rPr>
          <w:rFonts w:hint="eastAsia"/>
          <w:b/>
          <w:bCs/>
          <w:sz w:val="32"/>
          <w:szCs w:val="32"/>
        </w:rPr>
      </w:pPr>
    </w:p>
    <w:p>
      <w:pPr>
        <w:jc w:val="center"/>
        <w:rPr>
          <w:rFonts w:hint="eastAsia"/>
          <w:b/>
          <w:bCs/>
          <w:sz w:val="32"/>
          <w:szCs w:val="32"/>
        </w:rPr>
      </w:pPr>
    </w:p>
    <w:p>
      <w:pPr>
        <w:jc w:val="center"/>
        <w:rPr>
          <w:rFonts w:hint="eastAsia"/>
          <w:b/>
          <w:bCs/>
          <w:sz w:val="32"/>
          <w:szCs w:val="32"/>
        </w:rPr>
      </w:pPr>
    </w:p>
    <w:p>
      <w:pPr>
        <w:jc w:val="center"/>
        <w:rPr>
          <w:rFonts w:hint="eastAsia"/>
          <w:b/>
          <w:bCs/>
          <w:sz w:val="32"/>
          <w:szCs w:val="32"/>
        </w:rPr>
      </w:pPr>
    </w:p>
    <w:p>
      <w:pPr>
        <w:jc w:val="center"/>
        <w:rPr>
          <w:rFonts w:hint="eastAsia"/>
          <w:b/>
          <w:bCs/>
          <w:sz w:val="32"/>
          <w:szCs w:val="32"/>
        </w:rPr>
      </w:pPr>
    </w:p>
    <w:p>
      <w:pPr>
        <w:jc w:val="center"/>
        <w:rPr>
          <w:rFonts w:hint="eastAsia"/>
          <w:b/>
          <w:bCs/>
          <w:sz w:val="32"/>
          <w:szCs w:val="32"/>
        </w:rPr>
      </w:pPr>
    </w:p>
    <w:p>
      <w:pPr>
        <w:jc w:val="center"/>
        <w:rPr>
          <w:rFonts w:hint="eastAsia"/>
        </w:rPr>
      </w:pPr>
      <w:r>
        <w:rPr>
          <w:rFonts w:hint="eastAsia"/>
          <w:b/>
          <w:bCs/>
          <w:sz w:val="32"/>
          <w:szCs w:val="32"/>
          <w:lang w:val="en-US" w:eastAsia="zh-CN"/>
        </w:rPr>
        <w:t>二0二一</w:t>
      </w:r>
      <w:r>
        <w:rPr>
          <w:rFonts w:hint="eastAsia"/>
          <w:b/>
          <w:bCs/>
          <w:sz w:val="32"/>
          <w:szCs w:val="32"/>
        </w:rPr>
        <w:t>年二月五日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Theme="minorEastAsia" w:hAnsiTheme="minorEastAsia" w:eastAsiaTheme="minorEastAsia" w:cstheme="minorEastAsia"/>
          <w:sz w:val="32"/>
          <w:szCs w:val="32"/>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目  录</w:t>
      </w:r>
    </w:p>
    <w:p>
      <w:pPr>
        <w:jc w:val="both"/>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第一部分  部门概况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eastAsia="zh-CN"/>
        </w:rPr>
        <w:t>一、</w:t>
      </w:r>
      <w:r>
        <w:rPr>
          <w:rFonts w:hint="eastAsia" w:asciiTheme="minorEastAsia" w:hAnsiTheme="minorEastAsia" w:eastAsiaTheme="minorEastAsia" w:cstheme="minorEastAsia"/>
          <w:sz w:val="32"/>
          <w:szCs w:val="32"/>
        </w:rPr>
        <w:t>主要职能</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eastAsia="zh-CN"/>
        </w:rPr>
        <w:t>二、</w:t>
      </w:r>
      <w:r>
        <w:rPr>
          <w:rFonts w:hint="eastAsia" w:asciiTheme="minorEastAsia" w:hAnsiTheme="minorEastAsia" w:eastAsiaTheme="minorEastAsia" w:cstheme="minorEastAsia"/>
          <w:sz w:val="32"/>
          <w:szCs w:val="32"/>
        </w:rPr>
        <w:t>机构设置</w:t>
      </w:r>
    </w:p>
    <w:p>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第二部分  预算公开表格（见附件）</w:t>
      </w:r>
    </w:p>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1.收支预算总表</w:t>
      </w:r>
    </w:p>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2.收入预算总表</w:t>
      </w:r>
    </w:p>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3.支出预算总表</w:t>
      </w:r>
    </w:p>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4.财政拨款收支预算总表 </w:t>
      </w:r>
    </w:p>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5.一般公共预算支出表</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6.一般公共预算基本支出表</w:t>
      </w:r>
    </w:p>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7.一般公共预算“三公”经费支出表</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8.政府性基金预算支出预算表</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9.三年支出计划表</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10.部门整体支出绩效目标申报表</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11.项目支出绩效目标表</w:t>
      </w:r>
    </w:p>
    <w:p>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第三部分 情况说明</w:t>
      </w:r>
    </w:p>
    <w:p>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第四部分 名词解释</w:t>
      </w:r>
    </w:p>
    <w:p>
      <w:pPr>
        <w:rPr>
          <w:rFonts w:hint="eastAsia" w:asciiTheme="minorEastAsia" w:hAnsiTheme="minorEastAsia" w:eastAsiaTheme="minorEastAsia" w:cstheme="minorEastAsia"/>
          <w:b/>
          <w:bCs/>
          <w:sz w:val="32"/>
          <w:szCs w:val="32"/>
        </w:rPr>
      </w:pPr>
    </w:p>
    <w:p>
      <w:pPr>
        <w:rPr>
          <w:rFonts w:hint="eastAsia" w:asciiTheme="minorEastAsia" w:hAnsiTheme="minorEastAsia" w:eastAsiaTheme="minorEastAsia" w:cstheme="minorEastAsia"/>
          <w:b/>
          <w:bCs/>
          <w:sz w:val="32"/>
          <w:szCs w:val="32"/>
        </w:rPr>
      </w:pPr>
    </w:p>
    <w:p>
      <w:pPr>
        <w:rPr>
          <w:rFonts w:hint="eastAsia" w:asciiTheme="minorEastAsia" w:hAnsiTheme="minorEastAsia" w:eastAsiaTheme="minorEastAsia" w:cstheme="minorEastAsia"/>
          <w:b/>
          <w:bCs/>
          <w:sz w:val="32"/>
          <w:szCs w:val="32"/>
        </w:rPr>
      </w:pPr>
    </w:p>
    <w:p>
      <w:pPr>
        <w:rPr>
          <w:rFonts w:hint="eastAsia" w:asciiTheme="minorEastAsia" w:hAnsiTheme="minorEastAsia" w:eastAsiaTheme="minorEastAsia" w:cstheme="minorEastAsia"/>
          <w:b/>
          <w:bCs/>
          <w:sz w:val="32"/>
          <w:szCs w:val="32"/>
        </w:rPr>
      </w:pPr>
    </w:p>
    <w:p>
      <w:pPr>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第一部分　部门概况</w:t>
      </w:r>
    </w:p>
    <w:p>
      <w:pPr>
        <w:ind w:firstLine="643" w:firstLineChars="200"/>
        <w:rPr>
          <w:rFonts w:hint="eastAsia" w:asciiTheme="minorEastAsia" w:hAnsiTheme="minorEastAsia" w:eastAsiaTheme="minorEastAsia" w:cstheme="minorEastAsia"/>
          <w:b/>
          <w:bCs/>
          <w:sz w:val="32"/>
          <w:szCs w:val="32"/>
        </w:rPr>
      </w:pP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一、主要职能</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1、贯彻执行国家和党的教育方针，以及其他各项方针、政策。</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2、坚持以教学为中心，努力提高教学质量，不断研究和改善教学方法，不断提高教学水平。提高受教育者素质，这是现代学校的最基本职能。</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3、加强师资队伍建设，不断提高师资队伍素质，文化的传承与创新。</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4、组织编制和实施学校的长期规划、年度计划和学期计划。</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5、组织领导招生、学生的入学和毕业生鉴定工作。</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6、组织做好教职工的培养、考核、奖惩、工资福利职称评定，以及退休、离休等工作。</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7、组织领导做好行政后勤工作，坚持为教学服务，不断改善师生员工的工作、学习、生活条件，保证教学工作的顺利进行。</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8、贯彻执行勤俭办校的方针，建立健全各项规章制度，加强学校的管理。</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9、完成上级领导机关布置的其他任务。</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二、机构设置</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吉林油田运输小学共设专业技术编制47人、工勤编1人、管理编制4人，小学班级14个，附设幼儿班1个、有小学生655人，学前20人。学校设有办公室、教导处、政教处、后勤、党支部、团支部、工会组织。</w:t>
      </w:r>
    </w:p>
    <w:p>
      <w:pPr>
        <w:jc w:val="center"/>
        <w:rPr>
          <w:rFonts w:hint="eastAsia" w:asciiTheme="minorEastAsia" w:hAnsiTheme="minorEastAsia" w:eastAsiaTheme="minorEastAsia" w:cstheme="minorEastAsia"/>
          <w:b/>
          <w:bCs/>
          <w:sz w:val="32"/>
          <w:szCs w:val="32"/>
        </w:rPr>
      </w:pPr>
    </w:p>
    <w:p>
      <w:pPr>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第二部分 预算表格</w:t>
      </w:r>
    </w:p>
    <w:p>
      <w:pPr>
        <w:rPr>
          <w:rFonts w:hint="eastAsia" w:asciiTheme="minorEastAsia" w:hAnsiTheme="minorEastAsia" w:eastAsiaTheme="minorEastAsia" w:cstheme="minorEastAsia"/>
          <w:sz w:val="32"/>
          <w:szCs w:val="32"/>
        </w:rPr>
      </w:pPr>
    </w:p>
    <w:p>
      <w:pPr>
        <w:ind w:firstLine="640" w:firstLineChars="200"/>
        <w:rPr>
          <w:rFonts w:hint="eastAsia" w:asciiTheme="minorEastAsia" w:hAnsiTheme="minorEastAsia" w:eastAsiaTheme="minorEastAsia" w:cstheme="minorEastAsia"/>
          <w:sz w:val="32"/>
          <w:szCs w:val="32"/>
        </w:rPr>
      </w:pPr>
      <w:bookmarkStart w:id="0" w:name="_GoBack"/>
      <w:bookmarkEnd w:id="0"/>
      <w:r>
        <w:rPr>
          <w:rFonts w:hint="eastAsia" w:asciiTheme="minorEastAsia" w:hAnsiTheme="minorEastAsia" w:eastAsiaTheme="minorEastAsia" w:cstheme="minorEastAsia"/>
          <w:sz w:val="32"/>
          <w:szCs w:val="32"/>
        </w:rPr>
        <w:t>2021年预算公开表（见附件）</w:t>
      </w:r>
    </w:p>
    <w:p>
      <w:pPr>
        <w:rPr>
          <w:rFonts w:hint="eastAsia" w:asciiTheme="minorEastAsia" w:hAnsiTheme="minorEastAsia" w:eastAsiaTheme="minorEastAsia" w:cstheme="minorEastAsia"/>
          <w:sz w:val="32"/>
          <w:szCs w:val="32"/>
        </w:rPr>
      </w:pPr>
    </w:p>
    <w:p>
      <w:pPr>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第三部分　情况说明</w:t>
      </w:r>
    </w:p>
    <w:p>
      <w:pPr>
        <w:ind w:firstLine="643" w:firstLineChars="200"/>
        <w:rPr>
          <w:rFonts w:hint="eastAsia" w:asciiTheme="minorEastAsia" w:hAnsiTheme="minorEastAsia" w:eastAsiaTheme="minorEastAsia" w:cstheme="minorEastAsia"/>
          <w:b/>
          <w:bCs/>
          <w:sz w:val="32"/>
          <w:szCs w:val="32"/>
        </w:rPr>
      </w:pP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一、2021年收支预算总体情况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按照综合预算的原则，吉林省油田运输小学所有收入和支出均纳入部门预算管理，收入包括一般公共预算拨款收入、政府性基金预算拨款收入、事业收入、事业单位经营收入、上级补助收入、附属单位缴款收入、其他收入、用事业基金弥补收支差额，上年结转等。支出包括：教育支出、社会保障和就业支出、卫生健康支出、住房保障支出、结转下年等。2021 年收支总预算737.05万元。比2020年比增加137.65万元。主要原因是财政拨款收入增加。</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二、2021年收入预算情况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2021年收入预算737.05万元，其中：一般公共预算拨款收入737.05 万元，占总收入的100%。</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三、2021年支出预算情况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2021年支出预算737.05万元，其中：基本支出675.41万元，占总支出的91.64%；项目支出61.64万元，占总支出的8.36%。</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四、2021年财政拨款收支预算总体情况</w:t>
      </w:r>
    </w:p>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2021年财政拨款收支总预算737.05万元。其中一般公共预算拨款737.05万元，政府性基金预算拨款0万元；支出包括：教育支出553.7万元,社会保障和就业支出137.52万元，住房保障支出45.83万元。</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五、2021年一般公共预算拨款情况</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w:t>
      </w:r>
      <w:r>
        <w:rPr>
          <w:rFonts w:hint="eastAsia" w:asciiTheme="minorEastAsia" w:hAnsiTheme="minorEastAsia" w:cstheme="minorEastAsia"/>
          <w:b/>
          <w:bCs/>
          <w:sz w:val="32"/>
          <w:szCs w:val="32"/>
          <w:lang w:eastAsia="zh-CN"/>
        </w:rPr>
        <w:t>一</w:t>
      </w:r>
      <w:r>
        <w:rPr>
          <w:rFonts w:hint="eastAsia" w:asciiTheme="minorEastAsia" w:hAnsiTheme="minorEastAsia" w:eastAsiaTheme="minorEastAsia" w:cstheme="minorEastAsia"/>
          <w:b/>
          <w:bCs/>
          <w:sz w:val="32"/>
          <w:szCs w:val="32"/>
        </w:rPr>
        <w:t>）一般公共预算拨款变化情况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2021年一般公共预算当年拨款737.05万元,比2020年预算数增加137.65万元，主要原因是：财政拨款增加。其中基本支出675.41万元，占91.64%；项目支出61.64万元，占8.36%。基本支出中，人员经费665.09万元，占98.47%；公用经费10.32万元，占1.53%。</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cstheme="minorEastAsia"/>
          <w:b/>
          <w:bCs/>
          <w:sz w:val="32"/>
          <w:szCs w:val="32"/>
          <w:lang w:eastAsia="zh-CN"/>
        </w:rPr>
        <w:t>（二）</w:t>
      </w:r>
      <w:r>
        <w:rPr>
          <w:rFonts w:hint="eastAsia" w:asciiTheme="minorEastAsia" w:hAnsiTheme="minorEastAsia" w:eastAsiaTheme="minorEastAsia" w:cstheme="minorEastAsia"/>
          <w:b/>
          <w:bCs/>
          <w:sz w:val="32"/>
          <w:szCs w:val="32"/>
        </w:rPr>
        <w:t>一般公共预算当年拨款结构情况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教育支出（类）支出553.7万元，占75.12%； </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社会保障和就业（类）支出137.52万元，占18.66%;</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住房保障（类）支出45.83万元，占6.22%;</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六、2021年一般公共预算基本支出情况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2021年一般公共预算基本支出737.05万元，其中：人员经费665.09万元，包括：基本工资、津贴补贴、奖金、社保保障缴费、离退休费、抚恤金、生活补助、助学金、住房公积金、采暖补贴、其他对个人和家庭补助支出。</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公用经费10.32万元，包括：办公费、印刷费、水费、电费、邮电费、取暖费、物业管理费、差旅费、维修维护费、会议费、培训费、工会经费、福利费、其他商品和服务支出。</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七、2021年“三公”经费预算情况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2021年“三公”经费预算数为0万元，比2020年预算数减少0万元。其中：因公出国（境）费0万元。比2020年无增加变化,公务用车购置及运行费0 万元，比2020年无增加变化；公务接待费0万，比2020年无增加变化。</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八、2021年政府性基金预算支出情况</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2021年我单位本年度没有安排政府性基金支出。</w:t>
      </w:r>
    </w:p>
    <w:p>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九、其他说明</w:t>
      </w:r>
    </w:p>
    <w:p>
      <w:pPr>
        <w:ind w:firstLine="640" w:firstLineChars="200"/>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rPr>
        <w:t>（一）机关运行经费</w:t>
      </w:r>
    </w:p>
    <w:p>
      <w:pPr>
        <w:ind w:firstLine="640" w:firstLineChars="200"/>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rPr>
        <w:t>2021年机关运行经费财政拨款预算0万元。比2020年预算增加0万元。</w:t>
      </w:r>
    </w:p>
    <w:p>
      <w:pPr>
        <w:ind w:firstLine="640" w:firstLineChars="200"/>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rPr>
        <w:t>（二）政府采购情况</w:t>
      </w:r>
    </w:p>
    <w:p>
      <w:pPr>
        <w:ind w:firstLine="640" w:firstLineChars="200"/>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rPr>
        <w:t>2021年采购预算总额0万元。</w:t>
      </w:r>
    </w:p>
    <w:p>
      <w:pPr>
        <w:ind w:firstLine="640" w:firstLineChars="200"/>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rPr>
        <w:t>（三）国有资产占有使用情况其中车辆保有辆0辆，当年新购0辆。截至2020年12月31日，部门本级和所属各预算单位共有车辆0辆。</w:t>
      </w:r>
    </w:p>
    <w:p>
      <w:pPr>
        <w:ind w:firstLine="640" w:firstLineChars="200"/>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rPr>
        <w:t>（四）预算绩效情况说明</w:t>
      </w:r>
    </w:p>
    <w:p>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2021年吉林油田运输小学年度预算资金总额为737.05万元。其中项目支出61.64万元。按照全面实施绩效管理的要求，结合本部门的职能和重点工作，完成落实好2021年运输小学的整体工作情况，通过组织开展各基层单位重点项目工作，并将重点项目绩效目标进一步细化为绩效指标和指标值。</w:t>
      </w:r>
    </w:p>
    <w:p>
      <w:pPr>
        <w:jc w:val="center"/>
        <w:rPr>
          <w:rFonts w:hint="eastAsia" w:asciiTheme="minorEastAsia" w:hAnsiTheme="minorEastAsia" w:eastAsiaTheme="minorEastAsia" w:cstheme="minorEastAsia"/>
          <w:b/>
          <w:bCs/>
          <w:sz w:val="32"/>
          <w:szCs w:val="32"/>
        </w:rPr>
      </w:pPr>
    </w:p>
    <w:p>
      <w:pPr>
        <w:numPr>
          <w:ilvl w:val="0"/>
          <w:numId w:val="1"/>
        </w:numPr>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名词解释</w:t>
      </w:r>
    </w:p>
    <w:p>
      <w:pPr>
        <w:ind w:firstLine="640" w:firstLineChars="200"/>
        <w:rPr>
          <w:rFonts w:hint="eastAsia" w:asciiTheme="minorEastAsia" w:hAnsiTheme="minorEastAsia" w:eastAsiaTheme="minorEastAsia" w:cstheme="minorEastAsia"/>
          <w:sz w:val="32"/>
          <w:szCs w:val="32"/>
        </w:rPr>
      </w:pPr>
    </w:p>
    <w:p>
      <w:pPr>
        <w:ind w:firstLine="643"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一、财政拨款收入：</w:t>
      </w:r>
      <w:r>
        <w:rPr>
          <w:rFonts w:hint="eastAsia" w:asciiTheme="minorEastAsia" w:hAnsiTheme="minorEastAsia" w:eastAsiaTheme="minorEastAsia" w:cstheme="minorEastAsia"/>
          <w:sz w:val="32"/>
          <w:szCs w:val="32"/>
        </w:rPr>
        <w:t>指单位从同级财政部门取得的财政预算资金。</w:t>
      </w:r>
    </w:p>
    <w:p>
      <w:pPr>
        <w:ind w:firstLine="643"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二、年初结转和结余：</w:t>
      </w:r>
      <w:r>
        <w:rPr>
          <w:rFonts w:hint="eastAsia" w:asciiTheme="minorEastAsia" w:hAnsiTheme="minorEastAsia" w:eastAsiaTheme="minorEastAsia" w:cstheme="minorEastAsia"/>
          <w:sz w:val="32"/>
          <w:szCs w:val="32"/>
        </w:rPr>
        <w:t>指单位以前年度尚未完成、结转到本年按有关规定继续使用的资金。</w:t>
      </w:r>
    </w:p>
    <w:p>
      <w:pPr>
        <w:ind w:firstLine="643"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三、结余分配：</w:t>
      </w:r>
      <w:r>
        <w:rPr>
          <w:rFonts w:hint="eastAsia" w:asciiTheme="minorEastAsia" w:hAnsiTheme="minorEastAsia" w:eastAsiaTheme="minorEastAsia" w:cstheme="minorEastAsia"/>
          <w:sz w:val="32"/>
          <w:szCs w:val="32"/>
        </w:rPr>
        <w:t>指事业单位按照会计制度规定缴纳的所得税以及从非财政补助结余提取的职工福利基金、事业基金等。</w:t>
      </w:r>
    </w:p>
    <w:p>
      <w:pPr>
        <w:ind w:firstLine="643"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四、年末结转和结余：</w:t>
      </w:r>
      <w:r>
        <w:rPr>
          <w:rFonts w:hint="eastAsia" w:asciiTheme="minorEastAsia" w:hAnsiTheme="minorEastAsia" w:eastAsiaTheme="minorEastAsia" w:cstheme="minorEastAsia"/>
          <w:sz w:val="32"/>
          <w:szCs w:val="32"/>
        </w:rPr>
        <w:t>指单位按有关规定结转到下年或以后年度继续使用的资金。</w:t>
      </w:r>
    </w:p>
    <w:p>
      <w:pPr>
        <w:ind w:firstLine="643"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五、基本支出：</w:t>
      </w:r>
      <w:r>
        <w:rPr>
          <w:rFonts w:hint="eastAsia" w:asciiTheme="minorEastAsia" w:hAnsiTheme="minorEastAsia" w:eastAsiaTheme="minorEastAsia" w:cstheme="minorEastAsia"/>
          <w:sz w:val="32"/>
          <w:szCs w:val="32"/>
        </w:rPr>
        <w:t>指单位为保障其机构正常运转、完成日常工作任务而发生的人员支出和公用支出。</w:t>
      </w:r>
    </w:p>
    <w:p>
      <w:pPr>
        <w:ind w:firstLine="643"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六、项目支出：</w:t>
      </w:r>
      <w:r>
        <w:rPr>
          <w:rFonts w:hint="eastAsia" w:asciiTheme="minorEastAsia" w:hAnsiTheme="minorEastAsia" w:eastAsiaTheme="minorEastAsia" w:cstheme="minorEastAsia"/>
          <w:sz w:val="32"/>
          <w:szCs w:val="32"/>
        </w:rPr>
        <w:t>指单位为完成特定行政任务和事业发展目标在基本支出之外所发生的支出。</w:t>
      </w:r>
    </w:p>
    <w:p>
      <w:pPr>
        <w:ind w:firstLine="643"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七、经营支出：</w:t>
      </w:r>
      <w:r>
        <w:rPr>
          <w:rFonts w:hint="eastAsia" w:asciiTheme="minorEastAsia" w:hAnsiTheme="minorEastAsia" w:eastAsiaTheme="minorEastAsia" w:cstheme="minorEastAsia"/>
          <w:sz w:val="32"/>
          <w:szCs w:val="32"/>
        </w:rPr>
        <w:t>指事业单位在专业业务活动及其辅助活动之外开展非独立核算经营活动发生的支出。</w:t>
      </w:r>
    </w:p>
    <w:p>
      <w:pPr>
        <w:ind w:firstLine="643"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八、上缴上级支出：</w:t>
      </w:r>
      <w:r>
        <w:rPr>
          <w:rFonts w:hint="eastAsia" w:asciiTheme="minorEastAsia" w:hAnsiTheme="minorEastAsia" w:eastAsiaTheme="minorEastAsia" w:cstheme="minorEastAsia"/>
          <w:sz w:val="32"/>
          <w:szCs w:val="32"/>
        </w:rPr>
        <w:t>指事业单位按照有关规定上缴上级单位的支出。</w:t>
      </w:r>
    </w:p>
    <w:sectPr>
      <w:footerReference r:id="rId5" w:type="default"/>
      <w:pgSz w:w="11906" w:h="16838"/>
      <w:pgMar w:top="1440" w:right="1531" w:bottom="1440"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posOffset>2138045</wp:posOffset>
              </wp:positionH>
              <wp:positionV relativeFrom="paragraph">
                <wp:posOffset>-9525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 xml:space="preserve">7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68.35pt;margin-top:-0.75pt;height:144pt;width:144pt;mso-position-horizontal-relative:margin;mso-wrap-style:none;z-index:251659264;mso-width-relative:page;mso-height-relative:page;" filled="f" stroked="f" coordsize="21600,21600" o:gfxdata="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RQx0NgAAAAK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 xml:space="preserve">7 </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1CC7E9"/>
    <w:multiLevelType w:val="singleLevel"/>
    <w:tmpl w:val="391CC7E9"/>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iYjU1NTExMjRjZGJhMzBlMTE1YTI5ZWRkYjE0NzEifQ=="/>
  </w:docVars>
  <w:rsids>
    <w:rsidRoot w:val="00000000"/>
    <w:rsid w:val="086A25CC"/>
    <w:rsid w:val="0DAD66FB"/>
    <w:rsid w:val="253B6CA7"/>
    <w:rsid w:val="2C4732DF"/>
    <w:rsid w:val="38C32561"/>
    <w:rsid w:val="3DC87326"/>
    <w:rsid w:val="3E05030F"/>
    <w:rsid w:val="46237645"/>
    <w:rsid w:val="4C9D7203"/>
    <w:rsid w:val="57C8066B"/>
    <w:rsid w:val="6C9909C6"/>
    <w:rsid w:val="7FC72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2129</Words>
  <Characters>2406</Characters>
  <Lines>0</Lines>
  <Paragraphs>0</Paragraphs>
  <TotalTime>3</TotalTime>
  <ScaleCrop>false</ScaleCrop>
  <LinksUpToDate>false</LinksUpToDate>
  <CharactersWithSpaces>2449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2022-08-23T08:09:00Z</dcterms:created>
  <dc:creator>Administrator</dc:creator>
  <cp:lastModifiedBy>幸福来敲门</cp:lastModifiedBy>
  <dcterms:modified xsi:type="dcterms:W3CDTF">2022-08-23T09:05:08Z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66915181EBF147EB8A5ABEB7541BD982</vt:lpwstr>
  </property>
</Properties>
</file>