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936564">
      <w:pPr>
        <w:widowControl/>
        <w:shd w:val="clear" w:color="auto" w:fill="FFFFFF"/>
        <w:spacing w:line="540" w:lineRule="atLeast"/>
        <w:jc w:val="left"/>
        <w:rPr>
          <w:rFonts w:ascii="Arial" w:hAnsi="Arial" w:eastAsia="宋体" w:cs="Arial"/>
          <w:color w:val="000000"/>
          <w:kern w:val="0"/>
          <w:sz w:val="24"/>
          <w:szCs w:val="24"/>
        </w:rPr>
      </w:pPr>
    </w:p>
    <w:p w14:paraId="1D41C9F6">
      <w:pPr>
        <w:widowControl/>
        <w:shd w:val="clear" w:color="auto" w:fill="FFFFFF"/>
        <w:spacing w:line="555" w:lineRule="atLeast"/>
        <w:ind w:firstLine="480"/>
        <w:jc w:val="left"/>
        <w:rPr>
          <w:rFonts w:ascii="Arial" w:hAnsi="Arial" w:eastAsia="宋体" w:cs="Arial"/>
          <w:color w:val="000000"/>
          <w:kern w:val="0"/>
          <w:sz w:val="24"/>
          <w:szCs w:val="24"/>
        </w:rPr>
      </w:pPr>
      <w:bookmarkStart w:id="0" w:name="_GoBack"/>
      <w:bookmarkEnd w:id="0"/>
    </w:p>
    <w:p w14:paraId="49332DB1">
      <w:pPr>
        <w:widowControl/>
        <w:shd w:val="clear" w:color="auto" w:fill="FFFFFF"/>
        <w:spacing w:line="555" w:lineRule="atLeast"/>
        <w:ind w:firstLine="480"/>
        <w:jc w:val="center"/>
        <w:rPr>
          <w:rFonts w:hint="eastAsia" w:ascii="方正小标宋简体" w:hAnsi="Times New Roman" w:eastAsia="方正小标宋简体" w:cs="Times New Roman"/>
          <w:b/>
          <w:bCs/>
          <w:color w:val="000000"/>
          <w:kern w:val="0"/>
          <w:sz w:val="44"/>
          <w:szCs w:val="44"/>
          <w:lang w:val="en-US" w:eastAsia="zh-CN"/>
        </w:rPr>
      </w:pPr>
      <w:r>
        <w:rPr>
          <w:rFonts w:ascii="Times New Roman" w:hAnsi="Times New Roman" w:eastAsia="宋体" w:cs="Times New Roman"/>
          <w:color w:val="000000"/>
          <w:kern w:val="0"/>
          <w:sz w:val="44"/>
          <w:szCs w:val="44"/>
        </w:rPr>
        <w:t> </w:t>
      </w:r>
      <w:r>
        <w:rPr>
          <w:rFonts w:hint="eastAsia" w:ascii="Times New Roman" w:hAnsi="Times New Roman" w:eastAsia="宋体" w:cs="Times New Roman"/>
          <w:b/>
          <w:bCs/>
          <w:color w:val="000000"/>
          <w:kern w:val="0"/>
          <w:sz w:val="44"/>
          <w:szCs w:val="44"/>
          <w:lang w:eastAsia="zh-CN"/>
        </w:rPr>
        <w:t>松原市</w:t>
      </w:r>
      <w:r>
        <w:rPr>
          <w:rFonts w:hint="eastAsia" w:ascii="方正小标宋简体" w:hAnsi="Times New Roman" w:eastAsia="方正小标宋简体" w:cs="Times New Roman"/>
          <w:b/>
          <w:bCs/>
          <w:color w:val="000000"/>
          <w:kern w:val="0"/>
          <w:sz w:val="44"/>
          <w:szCs w:val="44"/>
        </w:rPr>
        <w:t>地下管线入廊管理办法</w:t>
      </w:r>
      <w:r>
        <w:rPr>
          <w:rFonts w:hint="eastAsia" w:ascii="方正小标宋简体" w:hAnsi="Times New Roman" w:eastAsia="方正小标宋简体" w:cs="Times New Roman"/>
          <w:b/>
          <w:bCs/>
          <w:color w:val="000000"/>
          <w:kern w:val="0"/>
          <w:sz w:val="44"/>
          <w:szCs w:val="44"/>
          <w:lang w:val="en-US" w:eastAsia="zh-CN"/>
        </w:rPr>
        <w:t>（草案）</w:t>
      </w:r>
    </w:p>
    <w:p w14:paraId="2237B4BA">
      <w:pPr>
        <w:widowControl/>
        <w:shd w:val="clear" w:color="auto" w:fill="FFFFFF"/>
        <w:spacing w:line="555" w:lineRule="atLeast"/>
        <w:ind w:firstLine="480"/>
        <w:jc w:val="center"/>
        <w:rPr>
          <w:rFonts w:hint="eastAsia" w:ascii="方正小标宋简体" w:hAnsi="Times New Roman" w:eastAsia="方正小标宋简体" w:cs="Times New Roman"/>
          <w:b/>
          <w:bCs/>
          <w:color w:val="000000"/>
          <w:kern w:val="0"/>
          <w:sz w:val="44"/>
          <w:szCs w:val="44"/>
          <w:lang w:val="en-US" w:eastAsia="zh-CN"/>
        </w:rPr>
      </w:pPr>
      <w:r>
        <w:rPr>
          <w:rFonts w:hint="eastAsia" w:ascii="方正小标宋简体" w:hAnsi="Times New Roman" w:eastAsia="方正小标宋简体" w:cs="Times New Roman"/>
          <w:b/>
          <w:bCs/>
          <w:color w:val="000000"/>
          <w:kern w:val="0"/>
          <w:sz w:val="44"/>
          <w:szCs w:val="44"/>
          <w:lang w:val="en-US" w:eastAsia="zh-CN"/>
        </w:rPr>
        <w:t xml:space="preserve">   </w:t>
      </w:r>
    </w:p>
    <w:p w14:paraId="6F9B9CE4">
      <w:pPr>
        <w:widowControl/>
        <w:shd w:val="clear" w:color="auto" w:fill="FFFFFF"/>
        <w:spacing w:line="555" w:lineRule="atLeast"/>
        <w:ind w:firstLine="480"/>
        <w:jc w:val="center"/>
        <w:rPr>
          <w:rFonts w:hint="default" w:ascii="方正小标宋简体" w:hAnsi="Times New Roman" w:eastAsia="方正小标宋简体" w:cs="Times New Roman"/>
          <w:b/>
          <w:bCs/>
          <w:color w:val="000000"/>
          <w:kern w:val="0"/>
          <w:sz w:val="44"/>
          <w:szCs w:val="44"/>
          <w:lang w:val="en-US" w:eastAsia="zh-CN"/>
        </w:rPr>
      </w:pPr>
    </w:p>
    <w:p w14:paraId="5D477C19">
      <w:pPr>
        <w:widowControl/>
        <w:shd w:val="clear" w:color="auto" w:fill="FFFFFF"/>
        <w:spacing w:line="555" w:lineRule="atLeast"/>
        <w:ind w:firstLine="480"/>
        <w:jc w:val="left"/>
        <w:rPr>
          <w:rFonts w:hint="eastAsia" w:ascii="Times New Roman" w:hAnsi="Times New Roman" w:eastAsia="宋体" w:cs="Times New Roman"/>
          <w:b/>
          <w:bCs/>
          <w:color w:val="000000"/>
          <w:kern w:val="0"/>
          <w:sz w:val="32"/>
          <w:szCs w:val="32"/>
          <w:lang w:eastAsia="zh-CN"/>
        </w:rPr>
      </w:pPr>
      <w:r>
        <w:rPr>
          <w:rFonts w:hint="eastAsia" w:ascii="Times New Roman" w:hAnsi="Times New Roman" w:eastAsia="宋体" w:cs="Times New Roman"/>
          <w:b/>
          <w:bCs/>
          <w:color w:val="000000"/>
          <w:kern w:val="0"/>
          <w:sz w:val="32"/>
          <w:szCs w:val="32"/>
          <w:lang w:eastAsia="zh-CN"/>
        </w:rPr>
        <w:t>目</w:t>
      </w:r>
      <w:r>
        <w:rPr>
          <w:rFonts w:hint="eastAsia" w:ascii="Times New Roman" w:hAnsi="Times New Roman" w:eastAsia="宋体" w:cs="Times New Roman"/>
          <w:b/>
          <w:bCs/>
          <w:color w:val="000000"/>
          <w:kern w:val="0"/>
          <w:sz w:val="32"/>
          <w:szCs w:val="32"/>
          <w:lang w:val="en-US" w:eastAsia="zh-CN"/>
        </w:rPr>
        <w:t xml:space="preserve"> </w:t>
      </w:r>
      <w:r>
        <w:rPr>
          <w:rFonts w:hint="eastAsia" w:ascii="Times New Roman" w:hAnsi="Times New Roman" w:eastAsia="宋体" w:cs="Times New Roman"/>
          <w:b/>
          <w:bCs/>
          <w:color w:val="000000"/>
          <w:kern w:val="0"/>
          <w:sz w:val="32"/>
          <w:szCs w:val="32"/>
          <w:lang w:eastAsia="zh-CN"/>
        </w:rPr>
        <w:t>录</w:t>
      </w:r>
    </w:p>
    <w:p w14:paraId="3EC8637D">
      <w:pPr>
        <w:widowControl/>
        <w:shd w:val="clear" w:color="auto" w:fill="FFFFFF"/>
        <w:spacing w:line="555" w:lineRule="atLeast"/>
        <w:ind w:firstLine="480"/>
        <w:jc w:val="left"/>
        <w:rPr>
          <w:rFonts w:hint="eastAsia" w:ascii="Arial" w:hAnsi="Arial" w:eastAsia="宋体" w:cs="Arial"/>
          <w:color w:val="000000"/>
          <w:kern w:val="0"/>
          <w:sz w:val="24"/>
          <w:szCs w:val="24"/>
          <w:lang w:val="en-US" w:eastAsia="zh-CN"/>
        </w:rPr>
      </w:pPr>
      <w:r>
        <w:rPr>
          <w:rFonts w:hint="eastAsia" w:ascii="Times New Roman" w:hAnsi="Times New Roman" w:eastAsia="宋体" w:cs="Times New Roman"/>
          <w:b/>
          <w:bCs/>
          <w:color w:val="000000"/>
          <w:kern w:val="0"/>
          <w:sz w:val="32"/>
          <w:szCs w:val="32"/>
          <w:lang w:eastAsia="zh-CN"/>
        </w:rPr>
        <w:t>第一章</w:t>
      </w:r>
      <w:r>
        <w:rPr>
          <w:rFonts w:hint="eastAsia" w:ascii="Times New Roman" w:hAnsi="Times New Roman" w:eastAsia="宋体" w:cs="Times New Roman"/>
          <w:b/>
          <w:bCs/>
          <w:color w:val="000000"/>
          <w:kern w:val="0"/>
          <w:sz w:val="32"/>
          <w:szCs w:val="32"/>
          <w:lang w:val="en-US" w:eastAsia="zh-CN"/>
        </w:rPr>
        <w:t xml:space="preserve">  </w:t>
      </w:r>
      <w:r>
        <w:rPr>
          <w:rFonts w:hint="eastAsia" w:ascii="Times New Roman" w:hAnsi="Times New Roman" w:eastAsia="宋体" w:cs="Times New Roman"/>
          <w:b/>
          <w:bCs/>
          <w:color w:val="000000"/>
          <w:kern w:val="0"/>
          <w:sz w:val="32"/>
          <w:szCs w:val="32"/>
          <w:lang w:eastAsia="zh-CN"/>
        </w:rPr>
        <w:t>总则</w:t>
      </w:r>
    </w:p>
    <w:p w14:paraId="1D5C97E9">
      <w:pPr>
        <w:widowControl/>
        <w:shd w:val="clear" w:color="auto" w:fill="FFFFFF"/>
        <w:spacing w:line="555" w:lineRule="atLeast"/>
        <w:ind w:firstLine="480"/>
        <w:jc w:val="left"/>
        <w:rPr>
          <w:rFonts w:hint="eastAsia" w:ascii="Times New Roman" w:hAnsi="Times New Roman" w:eastAsia="宋体" w:cs="Times New Roman"/>
          <w:b/>
          <w:bCs/>
          <w:color w:val="000000"/>
          <w:kern w:val="0"/>
          <w:sz w:val="32"/>
          <w:szCs w:val="32"/>
          <w:lang w:eastAsia="zh-CN"/>
        </w:rPr>
      </w:pPr>
      <w:r>
        <w:rPr>
          <w:rFonts w:hint="eastAsia" w:ascii="Times New Roman" w:hAnsi="Times New Roman" w:eastAsia="宋体" w:cs="Times New Roman"/>
          <w:b/>
          <w:bCs/>
          <w:color w:val="000000"/>
          <w:kern w:val="0"/>
          <w:sz w:val="32"/>
          <w:szCs w:val="32"/>
          <w:lang w:eastAsia="zh-CN"/>
        </w:rPr>
        <w:t>第二章</w:t>
      </w:r>
      <w:r>
        <w:rPr>
          <w:rFonts w:hint="eastAsia" w:ascii="Times New Roman" w:hAnsi="Times New Roman" w:eastAsia="宋体" w:cs="Times New Roman"/>
          <w:b/>
          <w:bCs/>
          <w:color w:val="000000"/>
          <w:kern w:val="0"/>
          <w:sz w:val="32"/>
          <w:szCs w:val="32"/>
          <w:lang w:val="en-US" w:eastAsia="zh-CN"/>
        </w:rPr>
        <w:t xml:space="preserve">  </w:t>
      </w:r>
      <w:r>
        <w:rPr>
          <w:rFonts w:hint="eastAsia" w:ascii="Times New Roman" w:hAnsi="Times New Roman" w:eastAsia="宋体" w:cs="Times New Roman"/>
          <w:b/>
          <w:bCs/>
          <w:color w:val="000000"/>
          <w:kern w:val="0"/>
          <w:sz w:val="32"/>
          <w:szCs w:val="32"/>
          <w:lang w:eastAsia="zh-CN"/>
        </w:rPr>
        <w:t>管线入廊管理</w:t>
      </w:r>
    </w:p>
    <w:p w14:paraId="53A3EAD1">
      <w:pPr>
        <w:widowControl/>
        <w:shd w:val="clear" w:color="auto" w:fill="FFFFFF"/>
        <w:spacing w:line="555" w:lineRule="atLeast"/>
        <w:ind w:firstLine="480"/>
        <w:jc w:val="left"/>
        <w:rPr>
          <w:rFonts w:hint="eastAsia" w:ascii="Times New Roman" w:hAnsi="Times New Roman" w:eastAsia="宋体" w:cs="Times New Roman"/>
          <w:b/>
          <w:bCs/>
          <w:color w:val="000000"/>
          <w:kern w:val="0"/>
          <w:sz w:val="32"/>
          <w:szCs w:val="32"/>
          <w:lang w:eastAsia="zh-CN"/>
        </w:rPr>
      </w:pPr>
      <w:r>
        <w:rPr>
          <w:rFonts w:hint="eastAsia" w:ascii="Times New Roman" w:hAnsi="Times New Roman" w:eastAsia="宋体" w:cs="Times New Roman"/>
          <w:b/>
          <w:bCs/>
          <w:color w:val="000000"/>
          <w:kern w:val="0"/>
          <w:sz w:val="32"/>
          <w:szCs w:val="32"/>
          <w:lang w:eastAsia="zh-CN"/>
        </w:rPr>
        <w:t>第三章</w:t>
      </w:r>
      <w:r>
        <w:rPr>
          <w:rFonts w:hint="eastAsia" w:ascii="Times New Roman" w:hAnsi="Times New Roman" w:eastAsia="宋体" w:cs="Times New Roman"/>
          <w:b/>
          <w:bCs/>
          <w:color w:val="000000"/>
          <w:kern w:val="0"/>
          <w:sz w:val="32"/>
          <w:szCs w:val="32"/>
          <w:lang w:val="en-US" w:eastAsia="zh-CN"/>
        </w:rPr>
        <w:t xml:space="preserve">  </w:t>
      </w:r>
      <w:r>
        <w:rPr>
          <w:rFonts w:hint="eastAsia" w:ascii="Times New Roman" w:hAnsi="Times New Roman" w:eastAsia="宋体" w:cs="Times New Roman"/>
          <w:b/>
          <w:bCs/>
          <w:color w:val="000000"/>
          <w:kern w:val="0"/>
          <w:sz w:val="32"/>
          <w:szCs w:val="32"/>
          <w:lang w:eastAsia="zh-CN"/>
        </w:rPr>
        <w:t>运营维护管理</w:t>
      </w:r>
    </w:p>
    <w:p w14:paraId="5414584D">
      <w:pPr>
        <w:widowControl/>
        <w:shd w:val="clear" w:color="auto" w:fill="FFFFFF"/>
        <w:spacing w:line="555" w:lineRule="atLeast"/>
        <w:ind w:firstLine="480"/>
        <w:jc w:val="left"/>
        <w:rPr>
          <w:rFonts w:hint="eastAsia" w:ascii="Times New Roman" w:hAnsi="Times New Roman" w:eastAsia="宋体" w:cs="Times New Roman"/>
          <w:b/>
          <w:bCs/>
          <w:color w:val="000000"/>
          <w:kern w:val="0"/>
          <w:sz w:val="32"/>
          <w:szCs w:val="32"/>
          <w:lang w:eastAsia="zh-CN"/>
        </w:rPr>
      </w:pPr>
      <w:r>
        <w:rPr>
          <w:rFonts w:hint="eastAsia" w:ascii="Times New Roman" w:hAnsi="Times New Roman" w:eastAsia="宋体" w:cs="Times New Roman"/>
          <w:b/>
          <w:bCs/>
          <w:color w:val="000000"/>
          <w:kern w:val="0"/>
          <w:sz w:val="32"/>
          <w:szCs w:val="32"/>
          <w:lang w:eastAsia="zh-CN"/>
        </w:rPr>
        <w:t>第四章</w:t>
      </w:r>
      <w:r>
        <w:rPr>
          <w:rFonts w:hint="eastAsia" w:ascii="Times New Roman" w:hAnsi="Times New Roman" w:eastAsia="宋体" w:cs="Times New Roman"/>
          <w:b/>
          <w:bCs/>
          <w:color w:val="000000"/>
          <w:kern w:val="0"/>
          <w:sz w:val="32"/>
          <w:szCs w:val="32"/>
          <w:lang w:val="en-US" w:eastAsia="zh-CN"/>
        </w:rPr>
        <w:t xml:space="preserve">  </w:t>
      </w:r>
      <w:r>
        <w:rPr>
          <w:rFonts w:hint="eastAsia" w:ascii="Times New Roman" w:hAnsi="Times New Roman" w:eastAsia="宋体" w:cs="Times New Roman"/>
          <w:b/>
          <w:bCs/>
          <w:color w:val="000000"/>
          <w:kern w:val="0"/>
          <w:sz w:val="32"/>
          <w:szCs w:val="32"/>
          <w:lang w:eastAsia="zh-CN"/>
        </w:rPr>
        <w:t>安全保护管理</w:t>
      </w:r>
    </w:p>
    <w:p w14:paraId="09F2FAC3">
      <w:pPr>
        <w:widowControl/>
        <w:shd w:val="clear" w:color="auto" w:fill="FFFFFF"/>
        <w:spacing w:line="555" w:lineRule="atLeast"/>
        <w:ind w:firstLine="480"/>
        <w:jc w:val="left"/>
        <w:rPr>
          <w:rFonts w:hint="eastAsia" w:ascii="Times New Roman" w:hAnsi="Times New Roman" w:eastAsia="宋体" w:cs="Times New Roman"/>
          <w:b/>
          <w:bCs/>
          <w:color w:val="000000"/>
          <w:kern w:val="0"/>
          <w:sz w:val="32"/>
          <w:szCs w:val="32"/>
          <w:lang w:eastAsia="zh-CN"/>
        </w:rPr>
      </w:pPr>
      <w:r>
        <w:rPr>
          <w:rFonts w:hint="eastAsia" w:ascii="Times New Roman" w:hAnsi="Times New Roman" w:eastAsia="宋体" w:cs="Times New Roman"/>
          <w:b/>
          <w:bCs/>
          <w:color w:val="000000"/>
          <w:kern w:val="0"/>
          <w:sz w:val="32"/>
          <w:szCs w:val="32"/>
          <w:lang w:eastAsia="zh-CN"/>
        </w:rPr>
        <w:t>第五章</w:t>
      </w:r>
      <w:r>
        <w:rPr>
          <w:rFonts w:hint="eastAsia" w:ascii="Times New Roman" w:hAnsi="Times New Roman" w:eastAsia="宋体" w:cs="Times New Roman"/>
          <w:b/>
          <w:bCs/>
          <w:color w:val="000000"/>
          <w:kern w:val="0"/>
          <w:sz w:val="32"/>
          <w:szCs w:val="32"/>
          <w:lang w:val="en-US" w:eastAsia="zh-CN"/>
        </w:rPr>
        <w:t xml:space="preserve">  </w:t>
      </w:r>
      <w:r>
        <w:rPr>
          <w:rFonts w:hint="eastAsia" w:ascii="Times New Roman" w:hAnsi="Times New Roman" w:eastAsia="宋体" w:cs="Times New Roman"/>
          <w:b/>
          <w:bCs/>
          <w:color w:val="000000"/>
          <w:kern w:val="0"/>
          <w:sz w:val="32"/>
          <w:szCs w:val="32"/>
          <w:lang w:eastAsia="zh-CN"/>
        </w:rPr>
        <w:t>法律责任</w:t>
      </w:r>
    </w:p>
    <w:p w14:paraId="3FD234BD">
      <w:pPr>
        <w:widowControl/>
        <w:shd w:val="clear" w:color="auto" w:fill="FFFFFF"/>
        <w:spacing w:line="555" w:lineRule="atLeast"/>
        <w:jc w:val="both"/>
        <w:rPr>
          <w:rFonts w:hint="eastAsia" w:ascii="方正小标宋简体" w:hAnsi="Times New Roman" w:eastAsia="方正小标宋简体" w:cs="Times New Roman"/>
          <w:b/>
          <w:bCs/>
          <w:color w:val="000000"/>
          <w:kern w:val="0"/>
          <w:sz w:val="44"/>
          <w:szCs w:val="44"/>
          <w:lang w:val="en-US" w:eastAsia="zh-CN"/>
        </w:rPr>
      </w:pPr>
    </w:p>
    <w:p w14:paraId="30AE30FD">
      <w:pPr>
        <w:widowControl/>
        <w:shd w:val="clear" w:color="auto" w:fill="FFFFFF"/>
        <w:spacing w:line="555" w:lineRule="atLeast"/>
        <w:ind w:firstLine="480"/>
        <w:jc w:val="center"/>
        <w:rPr>
          <w:rFonts w:hint="eastAsia" w:ascii="Arial" w:hAnsi="Arial" w:eastAsia="宋体" w:cs="Arial"/>
          <w:color w:val="000000"/>
          <w:kern w:val="0"/>
          <w:sz w:val="24"/>
          <w:szCs w:val="24"/>
          <w:lang w:val="en-US" w:eastAsia="zh-CN"/>
        </w:rPr>
      </w:pPr>
      <w:r>
        <w:rPr>
          <w:rFonts w:ascii="Times New Roman" w:hAnsi="Times New Roman" w:eastAsia="宋体" w:cs="Times New Roman"/>
          <w:color w:val="000000"/>
          <w:kern w:val="0"/>
          <w:sz w:val="32"/>
          <w:szCs w:val="32"/>
        </w:rPr>
        <w:t> </w:t>
      </w:r>
      <w:r>
        <w:rPr>
          <w:rFonts w:hint="eastAsia" w:ascii="Times New Roman" w:hAnsi="Times New Roman" w:eastAsia="宋体" w:cs="Times New Roman"/>
          <w:b/>
          <w:bCs/>
          <w:color w:val="000000"/>
          <w:kern w:val="0"/>
          <w:sz w:val="32"/>
          <w:szCs w:val="32"/>
          <w:lang w:eastAsia="zh-CN"/>
        </w:rPr>
        <w:t>第一章</w:t>
      </w:r>
      <w:r>
        <w:rPr>
          <w:rFonts w:hint="eastAsia" w:ascii="Times New Roman" w:hAnsi="Times New Roman" w:eastAsia="宋体" w:cs="Times New Roman"/>
          <w:b/>
          <w:bCs/>
          <w:color w:val="000000"/>
          <w:kern w:val="0"/>
          <w:sz w:val="32"/>
          <w:szCs w:val="32"/>
          <w:lang w:val="en-US" w:eastAsia="zh-CN"/>
        </w:rPr>
        <w:t xml:space="preserve"> </w:t>
      </w:r>
      <w:r>
        <w:rPr>
          <w:rFonts w:hint="eastAsia" w:ascii="Times New Roman" w:hAnsi="Times New Roman" w:eastAsia="宋体" w:cs="Times New Roman"/>
          <w:b/>
          <w:bCs/>
          <w:color w:val="000000"/>
          <w:kern w:val="0"/>
          <w:sz w:val="32"/>
          <w:szCs w:val="32"/>
          <w:lang w:eastAsia="zh-CN"/>
        </w:rPr>
        <w:t>总则</w:t>
      </w:r>
    </w:p>
    <w:p w14:paraId="0863DAE5">
      <w:pPr>
        <w:widowControl/>
        <w:shd w:val="clear" w:color="auto" w:fill="FFFFFF"/>
        <w:spacing w:line="555" w:lineRule="atLeast"/>
        <w:ind w:firstLine="645"/>
        <w:jc w:val="left"/>
        <w:rPr>
          <w:rFonts w:ascii="Arial" w:hAnsi="Arial" w:eastAsia="宋体" w:cs="Arial"/>
          <w:color w:val="000000"/>
          <w:kern w:val="0"/>
          <w:sz w:val="24"/>
          <w:szCs w:val="24"/>
        </w:rPr>
      </w:pPr>
      <w:r>
        <w:rPr>
          <w:rFonts w:hint="eastAsia" w:ascii="黑体" w:hAnsi="黑体" w:eastAsia="黑体" w:cs="Times New Roman"/>
          <w:color w:val="000000"/>
          <w:kern w:val="0"/>
          <w:sz w:val="32"/>
          <w:szCs w:val="32"/>
        </w:rPr>
        <w:t>第一条</w:t>
      </w:r>
      <w:r>
        <w:rPr>
          <w:rFonts w:ascii="Times New Roman" w:hAnsi="Times New Roman" w:eastAsia="宋体" w:cs="Times New Roman"/>
          <w:b/>
          <w:bCs/>
          <w:color w:val="000000"/>
          <w:kern w:val="0"/>
          <w:sz w:val="32"/>
          <w:szCs w:val="32"/>
        </w:rPr>
        <w:t> </w:t>
      </w:r>
      <w:r>
        <w:rPr>
          <w:rFonts w:hint="eastAsia" w:ascii="仿宋_GB2312" w:hAnsi="Times New Roman" w:eastAsia="仿宋_GB2312" w:cs="Times New Roman"/>
          <w:color w:val="000000"/>
          <w:kern w:val="0"/>
          <w:sz w:val="32"/>
          <w:szCs w:val="32"/>
        </w:rPr>
        <w:t>为加强城市地下管线入廊管理，</w:t>
      </w:r>
      <w:r>
        <w:rPr>
          <w:rFonts w:hint="eastAsia" w:ascii="仿宋_GB2312" w:hAnsi="Times New Roman" w:eastAsia="仿宋_GB2312" w:cs="Times New Roman"/>
          <w:color w:val="000000"/>
          <w:kern w:val="0"/>
          <w:sz w:val="32"/>
          <w:szCs w:val="32"/>
          <w:highlight w:val="none"/>
        </w:rPr>
        <w:t>实现综合管廊的有效利用和集约利用，优化城市地下空间布局，促进城市经济和社会发展，</w:t>
      </w:r>
      <w:r>
        <w:rPr>
          <w:rFonts w:hint="eastAsia" w:ascii="仿宋_GB2312" w:hAnsi="Times New Roman" w:eastAsia="仿宋_GB2312" w:cs="Times New Roman"/>
          <w:color w:val="000000"/>
          <w:kern w:val="0"/>
          <w:sz w:val="32"/>
          <w:szCs w:val="32"/>
        </w:rPr>
        <w:t>根据</w:t>
      </w:r>
      <w:r>
        <w:rPr>
          <w:rFonts w:hint="eastAsia" w:ascii="仿宋_GB2312" w:hAnsi="Times New Roman" w:eastAsia="仿宋_GB2312" w:cs="Times New Roman"/>
          <w:color w:val="000000"/>
          <w:kern w:val="0"/>
          <w:sz w:val="32"/>
          <w:szCs w:val="32"/>
          <w:lang w:eastAsia="zh-CN"/>
        </w:rPr>
        <w:t>《中华人民共和国城乡规划法》</w:t>
      </w:r>
      <w:r>
        <w:rPr>
          <w:rFonts w:hint="eastAsia" w:ascii="仿宋_GB2312" w:hAnsi="Times New Roman" w:eastAsia="仿宋_GB2312" w:cs="Times New Roman"/>
          <w:color w:val="000000"/>
          <w:kern w:val="0"/>
          <w:sz w:val="32"/>
          <w:szCs w:val="32"/>
        </w:rPr>
        <w:t>《国务院办公厅关于推进城市地下综合管廊建设的指导意见》（国办发〔</w:t>
      </w:r>
      <w:r>
        <w:rPr>
          <w:rFonts w:ascii="Times New Roman" w:hAnsi="Times New Roman" w:eastAsia="宋体" w:cs="Times New Roman"/>
          <w:color w:val="000000"/>
          <w:kern w:val="0"/>
          <w:sz w:val="32"/>
          <w:szCs w:val="32"/>
        </w:rPr>
        <w:t>2015</w:t>
      </w:r>
      <w:r>
        <w:rPr>
          <w:rFonts w:hint="eastAsia" w:ascii="仿宋_GB2312" w:hAnsi="Times New Roman" w:eastAsia="仿宋_GB2312" w:cs="Times New Roman"/>
          <w:color w:val="000000"/>
          <w:kern w:val="0"/>
          <w:sz w:val="32"/>
          <w:szCs w:val="32"/>
        </w:rPr>
        <w:t>〕</w:t>
      </w:r>
      <w:r>
        <w:rPr>
          <w:rFonts w:ascii="Times New Roman" w:hAnsi="Times New Roman" w:eastAsia="宋体" w:cs="Times New Roman"/>
          <w:color w:val="000000"/>
          <w:kern w:val="0"/>
          <w:sz w:val="32"/>
          <w:szCs w:val="32"/>
        </w:rPr>
        <w:t>61</w:t>
      </w:r>
      <w:r>
        <w:rPr>
          <w:rFonts w:hint="eastAsia" w:ascii="仿宋_GB2312" w:hAnsi="Times New Roman" w:eastAsia="仿宋_GB2312" w:cs="Times New Roman"/>
          <w:color w:val="000000"/>
          <w:kern w:val="0"/>
          <w:sz w:val="32"/>
          <w:szCs w:val="32"/>
        </w:rPr>
        <w:t>号）</w:t>
      </w:r>
      <w:r>
        <w:rPr>
          <w:rFonts w:hint="eastAsia" w:ascii="仿宋_GB2312" w:hAnsi="Times New Roman" w:eastAsia="仿宋_GB2312" w:cs="Times New Roman"/>
          <w:color w:val="000000"/>
          <w:kern w:val="0"/>
          <w:sz w:val="32"/>
          <w:szCs w:val="32"/>
          <w:lang w:val="en-US" w:eastAsia="zh-CN"/>
        </w:rPr>
        <w:t>,参照《吉林省城市地下综合管廊管理条例》（草案）</w:t>
      </w:r>
      <w:r>
        <w:rPr>
          <w:rFonts w:hint="eastAsia" w:ascii="仿宋_GB2312" w:hAnsi="Times New Roman" w:eastAsia="仿宋_GB2312" w:cs="Times New Roman"/>
          <w:color w:val="000000"/>
          <w:kern w:val="0"/>
          <w:sz w:val="32"/>
          <w:szCs w:val="32"/>
        </w:rPr>
        <w:t>等</w:t>
      </w:r>
      <w:r>
        <w:rPr>
          <w:rFonts w:hint="eastAsia" w:ascii="仿宋_GB2312" w:hAnsi="Times New Roman" w:eastAsia="仿宋_GB2312" w:cs="Times New Roman"/>
          <w:color w:val="000000"/>
          <w:kern w:val="0"/>
          <w:sz w:val="32"/>
          <w:szCs w:val="32"/>
          <w:lang w:eastAsia="zh-CN"/>
        </w:rPr>
        <w:t>法律法规</w:t>
      </w:r>
      <w:r>
        <w:rPr>
          <w:rFonts w:hint="eastAsia" w:ascii="仿宋_GB2312" w:hAnsi="Times New Roman" w:eastAsia="仿宋_GB2312" w:cs="Times New Roman"/>
          <w:color w:val="000000"/>
          <w:kern w:val="0"/>
          <w:sz w:val="32"/>
          <w:szCs w:val="32"/>
        </w:rPr>
        <w:t>精神，结合我市实际，制定本办法。</w:t>
      </w:r>
    </w:p>
    <w:p w14:paraId="32712AD3">
      <w:pPr>
        <w:widowControl/>
        <w:shd w:val="clear" w:color="auto" w:fill="FFFFFF"/>
        <w:spacing w:line="555" w:lineRule="atLeast"/>
        <w:ind w:firstLine="645"/>
        <w:jc w:val="left"/>
        <w:rPr>
          <w:rFonts w:hint="eastAsia" w:ascii="仿宋_GB2312" w:hAnsi="Times New Roman" w:eastAsia="仿宋_GB2312" w:cs="Times New Roman"/>
          <w:color w:val="000000" w:themeColor="text1"/>
          <w:kern w:val="0"/>
          <w:sz w:val="32"/>
          <w:szCs w:val="32"/>
          <w:highlight w:val="none"/>
          <w:lang w:eastAsia="zh-CN"/>
          <w14:textFill>
            <w14:solidFill>
              <w14:schemeClr w14:val="tx1"/>
            </w14:solidFill>
          </w14:textFill>
        </w:rPr>
      </w:pPr>
      <w:r>
        <w:rPr>
          <w:rFonts w:hint="eastAsia" w:ascii="黑体" w:hAnsi="黑体" w:eastAsia="黑体" w:cs="Times New Roman"/>
          <w:color w:val="000000" w:themeColor="text1"/>
          <w:kern w:val="0"/>
          <w:sz w:val="32"/>
          <w:szCs w:val="32"/>
          <w:highlight w:val="none"/>
          <w14:textFill>
            <w14:solidFill>
              <w14:schemeClr w14:val="tx1"/>
            </w14:solidFill>
          </w14:textFill>
        </w:rPr>
        <w:t>第二条</w:t>
      </w:r>
      <w:r>
        <w:rPr>
          <w:rFonts w:ascii="Times New Roman" w:hAnsi="Times New Roman" w:eastAsia="宋体" w:cs="Times New Roman"/>
          <w:b/>
          <w:bCs/>
          <w:color w:val="000000" w:themeColor="text1"/>
          <w:kern w:val="0"/>
          <w:sz w:val="32"/>
          <w:szCs w:val="32"/>
          <w:highlight w:val="none"/>
          <w14:textFill>
            <w14:solidFill>
              <w14:schemeClr w14:val="tx1"/>
            </w14:solidFill>
          </w14:textFill>
        </w:rPr>
        <w:t> </w:t>
      </w:r>
      <w:r>
        <w:rPr>
          <w:rFonts w:hint="eastAsia" w:ascii="仿宋_GB2312" w:hAnsi="Times New Roman" w:eastAsia="仿宋_GB2312" w:cs="Times New Roman"/>
          <w:color w:val="000000" w:themeColor="text1"/>
          <w:kern w:val="0"/>
          <w:sz w:val="32"/>
          <w:szCs w:val="32"/>
          <w:highlight w:val="none"/>
          <w14:textFill>
            <w14:solidFill>
              <w14:schemeClr w14:val="tx1"/>
            </w14:solidFill>
          </w14:textFill>
        </w:rPr>
        <w:t>本办法所称城市地下综合管廊(以下简称管廊)，是指设置于城市地面以下，用于容纳各种城市地下管线(包括供水、排水、燃气、热力、电力、通信、广播电视、工业等管线及其附属设施)的公共隧道，包括干线管廊、支线管廊和缆线管廊</w:t>
      </w:r>
      <w:r>
        <w:rPr>
          <w:rFonts w:hint="eastAsia" w:ascii="仿宋_GB2312" w:hAnsi="Times New Roman" w:eastAsia="仿宋_GB2312" w:cs="Times New Roman"/>
          <w:color w:val="000000" w:themeColor="text1"/>
          <w:kern w:val="0"/>
          <w:sz w:val="32"/>
          <w:szCs w:val="32"/>
          <w:highlight w:val="none"/>
          <w:lang w:eastAsia="zh-CN"/>
          <w14:textFill>
            <w14:solidFill>
              <w14:schemeClr w14:val="tx1"/>
            </w14:solidFill>
          </w14:textFill>
        </w:rPr>
        <w:t>。</w:t>
      </w:r>
    </w:p>
    <w:p w14:paraId="485FC1D1">
      <w:pPr>
        <w:widowControl/>
        <w:shd w:val="clear" w:color="auto" w:fill="FFFFFF"/>
        <w:spacing w:line="555" w:lineRule="atLeast"/>
        <w:ind w:firstLine="640" w:firstLineChars="200"/>
        <w:jc w:val="left"/>
        <w:rPr>
          <w:rFonts w:ascii="Arial" w:hAnsi="Arial" w:eastAsia="宋体" w:cs="Arial"/>
          <w:color w:val="000000"/>
          <w:kern w:val="0"/>
          <w:sz w:val="24"/>
          <w:szCs w:val="24"/>
        </w:rPr>
      </w:pPr>
      <w:r>
        <w:rPr>
          <w:rFonts w:hint="eastAsia" w:ascii="黑体" w:hAnsi="黑体" w:eastAsia="黑体" w:cs="Times New Roman"/>
          <w:color w:val="000000"/>
          <w:kern w:val="0"/>
          <w:sz w:val="32"/>
          <w:szCs w:val="32"/>
        </w:rPr>
        <w:t>第三条</w:t>
      </w:r>
      <w:r>
        <w:rPr>
          <w:rFonts w:ascii="Times New Roman" w:hAnsi="Times New Roman" w:eastAsia="宋体" w:cs="Times New Roman"/>
          <w:b/>
          <w:bCs/>
          <w:color w:val="000000"/>
          <w:kern w:val="0"/>
          <w:sz w:val="32"/>
          <w:szCs w:val="32"/>
        </w:rPr>
        <w:t> </w:t>
      </w:r>
      <w:r>
        <w:rPr>
          <w:rFonts w:hint="eastAsia" w:ascii="仿宋_GB2312" w:hAnsi="Times New Roman" w:eastAsia="仿宋_GB2312" w:cs="Times New Roman"/>
          <w:color w:val="000000"/>
          <w:kern w:val="0"/>
          <w:sz w:val="32"/>
          <w:szCs w:val="32"/>
        </w:rPr>
        <w:t>本办法适用于地下管线入廊的规划、建设</w:t>
      </w:r>
      <w:r>
        <w:rPr>
          <w:rFonts w:hint="eastAsia" w:ascii="仿宋_GB2312" w:hAnsi="Times New Roman" w:eastAsia="仿宋_GB2312" w:cs="Times New Roman"/>
          <w:color w:val="000000"/>
          <w:kern w:val="0"/>
          <w:sz w:val="32"/>
          <w:szCs w:val="32"/>
          <w:lang w:eastAsia="zh-CN"/>
        </w:rPr>
        <w:t>、运维管理</w:t>
      </w:r>
      <w:r>
        <w:rPr>
          <w:rFonts w:hint="eastAsia" w:ascii="仿宋_GB2312" w:hAnsi="Times New Roman" w:eastAsia="仿宋_GB2312" w:cs="Times New Roman"/>
          <w:color w:val="000000"/>
          <w:kern w:val="0"/>
          <w:sz w:val="32"/>
          <w:szCs w:val="32"/>
        </w:rPr>
        <w:t>等工作。法律、法规对地下管线另有规定的，从其规定。</w:t>
      </w:r>
    </w:p>
    <w:p w14:paraId="358D6E7B">
      <w:pPr>
        <w:widowControl/>
        <w:shd w:val="clear" w:color="auto" w:fill="FFFFFF"/>
        <w:spacing w:line="555" w:lineRule="atLeast"/>
        <w:ind w:firstLine="645"/>
        <w:jc w:val="left"/>
        <w:rPr>
          <w:rFonts w:hint="eastAsia" w:ascii="仿宋_GB2312" w:hAnsi="Times New Roman" w:eastAsia="仿宋_GB2312" w:cs="Times New Roman"/>
          <w:color w:val="000000"/>
          <w:kern w:val="0"/>
          <w:sz w:val="32"/>
          <w:szCs w:val="32"/>
        </w:rPr>
      </w:pPr>
      <w:r>
        <w:rPr>
          <w:rFonts w:hint="eastAsia" w:ascii="黑体" w:hAnsi="黑体" w:eastAsia="黑体" w:cs="Times New Roman"/>
          <w:color w:val="000000"/>
          <w:kern w:val="0"/>
          <w:sz w:val="32"/>
          <w:szCs w:val="32"/>
        </w:rPr>
        <w:t>第四条</w:t>
      </w:r>
      <w:r>
        <w:rPr>
          <w:rFonts w:ascii="Times New Roman" w:hAnsi="Times New Roman" w:eastAsia="宋体" w:cs="Times New Roman"/>
          <w:b/>
          <w:bCs/>
          <w:color w:val="000000"/>
          <w:kern w:val="0"/>
          <w:sz w:val="32"/>
          <w:szCs w:val="32"/>
        </w:rPr>
        <w:t> </w:t>
      </w:r>
      <w:r>
        <w:rPr>
          <w:rFonts w:hint="eastAsia" w:ascii="仿宋_GB2312" w:hAnsi="Times New Roman" w:eastAsia="仿宋_GB2312" w:cs="Times New Roman"/>
          <w:color w:val="000000"/>
          <w:kern w:val="0"/>
          <w:sz w:val="32"/>
          <w:szCs w:val="32"/>
        </w:rPr>
        <w:t>地下管线入廊</w:t>
      </w:r>
      <w:r>
        <w:rPr>
          <w:rFonts w:hint="eastAsia" w:ascii="仿宋_GB2312" w:hAnsi="Times New Roman" w:eastAsia="仿宋_GB2312" w:cs="Times New Roman"/>
          <w:color w:val="000000"/>
          <w:kern w:val="0"/>
          <w:sz w:val="32"/>
          <w:szCs w:val="32"/>
          <w:lang w:eastAsia="zh-CN"/>
        </w:rPr>
        <w:t>、运维管理</w:t>
      </w:r>
      <w:r>
        <w:rPr>
          <w:rFonts w:hint="eastAsia" w:ascii="仿宋_GB2312" w:hAnsi="Times New Roman" w:eastAsia="仿宋_GB2312" w:cs="Times New Roman"/>
          <w:color w:val="000000"/>
          <w:kern w:val="0"/>
          <w:sz w:val="32"/>
          <w:szCs w:val="32"/>
        </w:rPr>
        <w:t>应遵循科学规划、合理布局、因地制宜、应进则进、分类分区的原则。</w:t>
      </w:r>
    </w:p>
    <w:p w14:paraId="5BB88151">
      <w:pPr>
        <w:widowControl/>
        <w:shd w:val="clear" w:color="auto" w:fill="FFFFFF"/>
        <w:spacing w:line="555" w:lineRule="atLeast"/>
        <w:ind w:firstLine="480"/>
        <w:jc w:val="center"/>
        <w:rPr>
          <w:rFonts w:hint="eastAsia" w:ascii="Times New Roman" w:hAnsi="Times New Roman" w:eastAsia="宋体" w:cs="Times New Roman"/>
          <w:b/>
          <w:bCs/>
          <w:color w:val="000000"/>
          <w:kern w:val="0"/>
          <w:sz w:val="32"/>
          <w:szCs w:val="32"/>
          <w:lang w:eastAsia="zh-CN"/>
        </w:rPr>
      </w:pPr>
      <w:r>
        <w:rPr>
          <w:rFonts w:hint="eastAsia" w:ascii="Times New Roman" w:hAnsi="Times New Roman" w:eastAsia="宋体" w:cs="Times New Roman"/>
          <w:b/>
          <w:bCs/>
          <w:color w:val="000000"/>
          <w:kern w:val="0"/>
          <w:sz w:val="32"/>
          <w:szCs w:val="32"/>
          <w:lang w:eastAsia="zh-CN"/>
        </w:rPr>
        <w:t>第二章管线入廊管理</w:t>
      </w:r>
    </w:p>
    <w:p w14:paraId="52235032">
      <w:pPr>
        <w:widowControl/>
        <w:shd w:val="clear" w:color="auto" w:fill="FFFFFF"/>
        <w:spacing w:line="555" w:lineRule="atLeast"/>
        <w:ind w:firstLine="645"/>
        <w:jc w:val="left"/>
        <w:rPr>
          <w:rFonts w:ascii="Arial" w:hAnsi="Arial" w:eastAsia="宋体" w:cs="Arial"/>
          <w:color w:val="000000"/>
          <w:kern w:val="0"/>
          <w:sz w:val="24"/>
          <w:szCs w:val="24"/>
        </w:rPr>
      </w:pPr>
      <w:r>
        <w:rPr>
          <w:rFonts w:hint="eastAsia" w:ascii="黑体" w:hAnsi="黑体" w:eastAsia="黑体" w:cs="Times New Roman"/>
          <w:color w:val="000000"/>
          <w:kern w:val="0"/>
          <w:sz w:val="32"/>
          <w:szCs w:val="32"/>
        </w:rPr>
        <w:t>第五条</w:t>
      </w:r>
      <w:r>
        <w:rPr>
          <w:rFonts w:ascii="Times New Roman" w:hAnsi="Times New Roman" w:eastAsia="宋体" w:cs="Times New Roman"/>
          <w:b/>
          <w:bCs/>
          <w:color w:val="000000"/>
          <w:kern w:val="0"/>
          <w:sz w:val="32"/>
          <w:szCs w:val="32"/>
        </w:rPr>
        <w:t> </w:t>
      </w:r>
      <w:r>
        <w:rPr>
          <w:rFonts w:hint="eastAsia" w:ascii="仿宋_GB2312" w:hAnsi="Times New Roman" w:eastAsia="仿宋_GB2312" w:cs="Times New Roman"/>
          <w:color w:val="000000"/>
          <w:kern w:val="0"/>
          <w:sz w:val="32"/>
          <w:szCs w:val="32"/>
        </w:rPr>
        <w:t>市城乡建设部门负责全市地下管线入廊的综合协调工作；发展改革、财政、自然资源、城管执法、公安（交警）等行政管理部门各司其职，推进地下管线入廊工作。</w:t>
      </w:r>
    </w:p>
    <w:p w14:paraId="4B9872D4">
      <w:pPr>
        <w:widowControl/>
        <w:shd w:val="clear" w:color="auto" w:fill="FFFFFF"/>
        <w:spacing w:line="555" w:lineRule="atLeast"/>
        <w:ind w:firstLine="645"/>
        <w:jc w:val="left"/>
        <w:rPr>
          <w:rFonts w:hint="eastAsia" w:ascii="仿宋_GB2312" w:hAnsi="Times New Roman" w:eastAsia="仿宋_GB2312" w:cs="Times New Roman"/>
          <w:color w:val="000000"/>
          <w:kern w:val="0"/>
          <w:sz w:val="32"/>
          <w:szCs w:val="32"/>
        </w:rPr>
      </w:pPr>
      <w:r>
        <w:rPr>
          <w:rFonts w:hint="eastAsia" w:ascii="黑体" w:hAnsi="黑体" w:eastAsia="黑体" w:cs="Times New Roman"/>
          <w:color w:val="000000"/>
          <w:kern w:val="0"/>
          <w:sz w:val="32"/>
          <w:szCs w:val="32"/>
        </w:rPr>
        <w:t>第六条</w:t>
      </w:r>
      <w:r>
        <w:rPr>
          <w:rFonts w:ascii="Times New Roman" w:hAnsi="Times New Roman" w:eastAsia="宋体" w:cs="Times New Roman"/>
          <w:b/>
          <w:bCs/>
          <w:color w:val="000000"/>
          <w:kern w:val="0"/>
          <w:sz w:val="32"/>
          <w:szCs w:val="32"/>
        </w:rPr>
        <w:t> </w:t>
      </w:r>
      <w:r>
        <w:rPr>
          <w:rFonts w:hint="eastAsia" w:ascii="仿宋_GB2312" w:hAnsi="Times New Roman" w:eastAsia="仿宋_GB2312" w:cs="Times New Roman"/>
          <w:color w:val="000000"/>
          <w:kern w:val="0"/>
          <w:sz w:val="32"/>
          <w:szCs w:val="32"/>
        </w:rPr>
        <w:t>地下综合管廊项目所在道路及道路沿线绿地范围内的区域，为该管廊的管线入廊严控区，管线入廊严控区范围内各类管线必须入廊。管线入廊严控区两侧</w:t>
      </w:r>
      <w:r>
        <w:rPr>
          <w:rFonts w:ascii="Times New Roman" w:hAnsi="Times New Roman" w:eastAsia="宋体" w:cs="Times New Roman"/>
          <w:color w:val="000000"/>
          <w:kern w:val="0"/>
          <w:sz w:val="32"/>
          <w:szCs w:val="32"/>
        </w:rPr>
        <w:t>500</w:t>
      </w:r>
      <w:r>
        <w:rPr>
          <w:rFonts w:hint="eastAsia" w:ascii="仿宋_GB2312" w:hAnsi="Times New Roman" w:eastAsia="仿宋_GB2312" w:cs="Times New Roman"/>
          <w:color w:val="000000"/>
          <w:kern w:val="0"/>
          <w:sz w:val="32"/>
          <w:szCs w:val="32"/>
        </w:rPr>
        <w:t>米范围内，为该管廊的地下管线入廊控制区，控制区范围内各类地下管线干线必须入廊，既有地下管线干线，因各种原因需要进行搬迁、更新或扩容增设的必须入廊。</w:t>
      </w:r>
    </w:p>
    <w:p w14:paraId="211FCA99">
      <w:pPr>
        <w:widowControl/>
        <w:shd w:val="clear" w:color="auto" w:fill="FFFFFF"/>
        <w:spacing w:line="555" w:lineRule="atLeast"/>
        <w:ind w:firstLine="645"/>
        <w:jc w:val="left"/>
        <w:rPr>
          <w:rFonts w:ascii="Arial" w:hAnsi="Arial" w:eastAsia="宋体" w:cs="Arial"/>
          <w:color w:val="000000"/>
          <w:kern w:val="0"/>
          <w:sz w:val="24"/>
          <w:szCs w:val="24"/>
          <w:highlight w:val="none"/>
        </w:rPr>
      </w:pPr>
      <w:r>
        <w:rPr>
          <w:rFonts w:hint="eastAsia" w:ascii="黑体" w:hAnsi="黑体" w:eastAsia="黑体" w:cs="Times New Roman"/>
          <w:color w:val="000000"/>
          <w:kern w:val="0"/>
          <w:sz w:val="32"/>
          <w:szCs w:val="32"/>
          <w:highlight w:val="none"/>
        </w:rPr>
        <w:t>第</w:t>
      </w:r>
      <w:r>
        <w:rPr>
          <w:rFonts w:hint="eastAsia" w:ascii="黑体" w:hAnsi="黑体" w:eastAsia="黑体" w:cs="Times New Roman"/>
          <w:color w:val="000000"/>
          <w:kern w:val="0"/>
          <w:sz w:val="32"/>
          <w:szCs w:val="32"/>
          <w:highlight w:val="none"/>
          <w:lang w:eastAsia="zh-CN"/>
        </w:rPr>
        <w:t>七</w:t>
      </w:r>
      <w:r>
        <w:rPr>
          <w:rFonts w:hint="eastAsia" w:ascii="黑体" w:hAnsi="黑体" w:eastAsia="黑体" w:cs="Times New Roman"/>
          <w:color w:val="000000"/>
          <w:kern w:val="0"/>
          <w:sz w:val="32"/>
          <w:szCs w:val="32"/>
          <w:highlight w:val="none"/>
        </w:rPr>
        <w:t>条</w:t>
      </w:r>
      <w:r>
        <w:rPr>
          <w:rFonts w:ascii="Times New Roman" w:hAnsi="Times New Roman" w:eastAsia="宋体" w:cs="Times New Roman"/>
          <w:color w:val="000000"/>
          <w:kern w:val="0"/>
          <w:sz w:val="32"/>
          <w:szCs w:val="32"/>
          <w:highlight w:val="none"/>
        </w:rPr>
        <w:t> </w:t>
      </w:r>
      <w:r>
        <w:rPr>
          <w:rFonts w:hint="eastAsia" w:ascii="仿宋_GB2312" w:hAnsi="Times New Roman" w:eastAsia="仿宋_GB2312" w:cs="Times New Roman"/>
          <w:color w:val="000000"/>
          <w:kern w:val="0"/>
          <w:sz w:val="32"/>
          <w:szCs w:val="32"/>
          <w:highlight w:val="none"/>
        </w:rPr>
        <w:t>各相关部门对入廊控制范围内的地下管线工程，应严格审批、强化管理，严格执行多规合一综合平台的项目管理、业务协同、联合审批</w:t>
      </w:r>
      <w:r>
        <w:rPr>
          <w:rFonts w:hint="eastAsia" w:ascii="仿宋_GB2312" w:hAnsi="Times New Roman" w:eastAsia="仿宋_GB2312" w:cs="Times New Roman"/>
          <w:color w:val="000000"/>
          <w:kern w:val="0"/>
          <w:sz w:val="32"/>
          <w:szCs w:val="32"/>
          <w:highlight w:val="none"/>
          <w:lang w:eastAsia="zh-CN"/>
        </w:rPr>
        <w:t>，</w:t>
      </w:r>
      <w:r>
        <w:rPr>
          <w:rFonts w:hint="eastAsia" w:ascii="仿宋_GB2312" w:hAnsi="Times New Roman" w:eastAsia="仿宋_GB2312" w:cs="Times New Roman"/>
          <w:color w:val="000000"/>
          <w:kern w:val="0"/>
          <w:sz w:val="32"/>
          <w:szCs w:val="32"/>
          <w:highlight w:val="none"/>
        </w:rPr>
        <w:t>其中业务协同平台意见应明确管线是否应当入廊。</w:t>
      </w:r>
    </w:p>
    <w:p w14:paraId="0966865A">
      <w:pPr>
        <w:widowControl/>
        <w:shd w:val="clear" w:color="auto" w:fill="FFFFFF"/>
        <w:spacing w:line="555" w:lineRule="atLeast"/>
        <w:ind w:firstLine="645"/>
        <w:jc w:val="left"/>
        <w:rPr>
          <w:rFonts w:ascii="Arial" w:hAnsi="Arial" w:eastAsia="宋体" w:cs="Arial"/>
          <w:color w:val="000000"/>
          <w:kern w:val="0"/>
          <w:sz w:val="24"/>
          <w:szCs w:val="24"/>
        </w:rPr>
      </w:pPr>
      <w:r>
        <w:rPr>
          <w:rFonts w:hint="eastAsia" w:ascii="仿宋_GB2312" w:hAnsi="Times New Roman" w:eastAsia="仿宋_GB2312" w:cs="Times New Roman"/>
          <w:color w:val="000000"/>
          <w:kern w:val="0"/>
          <w:sz w:val="32"/>
          <w:szCs w:val="32"/>
        </w:rPr>
        <w:t>（一）自然资源部门对应当入廊的地下管线工程在综合管廊以外位置申请规划许可的，不办理规划许可证；</w:t>
      </w:r>
    </w:p>
    <w:p w14:paraId="65611A98">
      <w:pPr>
        <w:widowControl/>
        <w:shd w:val="clear" w:color="auto" w:fill="FFFFFF"/>
        <w:spacing w:line="555" w:lineRule="atLeast"/>
        <w:ind w:firstLine="645"/>
        <w:jc w:val="left"/>
        <w:rPr>
          <w:rFonts w:ascii="Arial" w:hAnsi="Arial" w:eastAsia="宋体" w:cs="Arial"/>
          <w:color w:val="000000"/>
          <w:kern w:val="0"/>
          <w:sz w:val="24"/>
          <w:szCs w:val="24"/>
        </w:rPr>
      </w:pPr>
      <w:r>
        <w:rPr>
          <w:rFonts w:hint="eastAsia" w:ascii="仿宋_GB2312" w:hAnsi="Times New Roman" w:eastAsia="仿宋_GB2312" w:cs="Times New Roman"/>
          <w:color w:val="000000"/>
          <w:kern w:val="0"/>
          <w:sz w:val="32"/>
          <w:szCs w:val="32"/>
        </w:rPr>
        <w:t>（二）城乡建设部门对应当入廊的地下管线工程在综合管廊以外位置申请施工许可的，不办理施工许可证；</w:t>
      </w:r>
    </w:p>
    <w:p w14:paraId="77CDDFC7">
      <w:pPr>
        <w:widowControl/>
        <w:shd w:val="clear" w:color="auto" w:fill="FFFFFF"/>
        <w:spacing w:line="555" w:lineRule="atLeast"/>
        <w:ind w:firstLine="645"/>
        <w:jc w:val="left"/>
        <w:rPr>
          <w:rFonts w:hint="eastAsia" w:ascii="仿宋_GB2312" w:hAnsi="Times New Roman" w:eastAsia="仿宋_GB2312" w:cs="Times New Roman"/>
          <w:color w:val="000000"/>
          <w:kern w:val="0"/>
          <w:sz w:val="32"/>
          <w:szCs w:val="32"/>
        </w:rPr>
      </w:pPr>
      <w:r>
        <w:rPr>
          <w:rFonts w:hint="eastAsia" w:ascii="仿宋_GB2312" w:hAnsi="Times New Roman" w:eastAsia="仿宋_GB2312" w:cs="Times New Roman"/>
          <w:color w:val="000000"/>
          <w:kern w:val="0"/>
          <w:sz w:val="32"/>
          <w:szCs w:val="32"/>
        </w:rPr>
        <w:t>（三）城管执法部门、公安（交警）部门对应当入廊的地下管线工程在综合管廊以外位置申请道路挖掘审批许可的，不予审批。</w:t>
      </w:r>
    </w:p>
    <w:p w14:paraId="7F689C92">
      <w:pPr>
        <w:widowControl/>
        <w:shd w:val="clear" w:color="auto" w:fill="FFFFFF"/>
        <w:spacing w:line="555" w:lineRule="atLeast"/>
        <w:ind w:firstLine="645"/>
        <w:jc w:val="left"/>
        <w:rPr>
          <w:rFonts w:ascii="Arial" w:hAnsi="Arial" w:eastAsia="宋体" w:cs="Arial"/>
          <w:color w:val="000000"/>
          <w:kern w:val="0"/>
          <w:sz w:val="24"/>
          <w:szCs w:val="24"/>
        </w:rPr>
      </w:pPr>
      <w:r>
        <w:rPr>
          <w:rFonts w:hint="eastAsia" w:ascii="黑体" w:hAnsi="黑体" w:eastAsia="黑体" w:cs="Times New Roman"/>
          <w:color w:val="000000"/>
          <w:kern w:val="0"/>
          <w:sz w:val="32"/>
          <w:szCs w:val="32"/>
        </w:rPr>
        <w:t>第</w:t>
      </w:r>
      <w:r>
        <w:rPr>
          <w:rFonts w:hint="eastAsia" w:ascii="黑体" w:hAnsi="黑体" w:eastAsia="黑体" w:cs="Times New Roman"/>
          <w:color w:val="000000"/>
          <w:kern w:val="0"/>
          <w:sz w:val="32"/>
          <w:szCs w:val="32"/>
          <w:lang w:eastAsia="zh-CN"/>
        </w:rPr>
        <w:t>八</w:t>
      </w:r>
      <w:r>
        <w:rPr>
          <w:rFonts w:hint="eastAsia" w:ascii="黑体" w:hAnsi="黑体" w:eastAsia="黑体" w:cs="Times New Roman"/>
          <w:color w:val="000000"/>
          <w:kern w:val="0"/>
          <w:sz w:val="32"/>
          <w:szCs w:val="32"/>
        </w:rPr>
        <w:t>条</w:t>
      </w:r>
      <w:r>
        <w:rPr>
          <w:rFonts w:ascii="Times New Roman" w:hAnsi="Times New Roman" w:eastAsia="宋体" w:cs="Times New Roman"/>
          <w:color w:val="000000"/>
          <w:kern w:val="0"/>
          <w:sz w:val="32"/>
          <w:szCs w:val="32"/>
        </w:rPr>
        <w:t> </w:t>
      </w:r>
      <w:r>
        <w:rPr>
          <w:rFonts w:hint="eastAsia" w:ascii="仿宋_GB2312" w:hAnsi="Times New Roman" w:eastAsia="仿宋_GB2312" w:cs="Times New Roman"/>
          <w:color w:val="000000"/>
          <w:kern w:val="0"/>
          <w:sz w:val="32"/>
          <w:szCs w:val="32"/>
        </w:rPr>
        <w:t>有下列情形之一的，可不入廊敷设：</w:t>
      </w:r>
    </w:p>
    <w:p w14:paraId="43EB3A8D">
      <w:pPr>
        <w:widowControl/>
        <w:shd w:val="clear" w:color="auto" w:fill="FFFFFF"/>
        <w:spacing w:line="555" w:lineRule="atLeast"/>
        <w:ind w:firstLine="645"/>
        <w:jc w:val="left"/>
        <w:rPr>
          <w:rFonts w:ascii="Arial" w:hAnsi="Arial" w:eastAsia="宋体" w:cs="Arial"/>
          <w:color w:val="000000"/>
          <w:kern w:val="0"/>
          <w:sz w:val="24"/>
          <w:szCs w:val="24"/>
        </w:rPr>
      </w:pPr>
      <w:r>
        <w:rPr>
          <w:rFonts w:hint="eastAsia" w:ascii="仿宋_GB2312" w:hAnsi="Times New Roman" w:eastAsia="仿宋_GB2312" w:cs="Times New Roman"/>
          <w:color w:val="000000"/>
          <w:kern w:val="0"/>
          <w:sz w:val="32"/>
          <w:szCs w:val="32"/>
        </w:rPr>
        <w:t>（一）根据国家标准或者规范无法入廊的管线；</w:t>
      </w:r>
    </w:p>
    <w:p w14:paraId="438957B1">
      <w:pPr>
        <w:widowControl/>
        <w:shd w:val="clear" w:color="auto" w:fill="FFFFFF"/>
        <w:spacing w:line="555" w:lineRule="atLeast"/>
        <w:ind w:firstLine="645"/>
        <w:jc w:val="left"/>
        <w:rPr>
          <w:rFonts w:hint="eastAsia" w:ascii="Arial" w:hAnsi="Arial" w:eastAsia="仿宋_GB2312" w:cs="Arial"/>
          <w:color w:val="000000"/>
          <w:kern w:val="0"/>
          <w:sz w:val="24"/>
          <w:szCs w:val="24"/>
          <w:lang w:eastAsia="zh-CN"/>
        </w:rPr>
      </w:pPr>
      <w:r>
        <w:rPr>
          <w:rFonts w:hint="eastAsia" w:ascii="仿宋_GB2312" w:hAnsi="Times New Roman" w:eastAsia="仿宋_GB2312" w:cs="Times New Roman"/>
          <w:color w:val="000000"/>
          <w:kern w:val="0"/>
          <w:sz w:val="32"/>
          <w:szCs w:val="32"/>
        </w:rPr>
        <w:t>（二）管廊与外部用户的配线及连接管线</w:t>
      </w:r>
      <w:r>
        <w:rPr>
          <w:rFonts w:hint="eastAsia" w:ascii="仿宋_GB2312" w:hAnsi="Times New Roman" w:eastAsia="仿宋_GB2312" w:cs="Times New Roman"/>
          <w:color w:val="000000"/>
          <w:kern w:val="0"/>
          <w:sz w:val="32"/>
          <w:szCs w:val="32"/>
          <w:lang w:eastAsia="zh-CN"/>
        </w:rPr>
        <w:t>。</w:t>
      </w:r>
    </w:p>
    <w:p w14:paraId="6E9B8D80">
      <w:pPr>
        <w:widowControl/>
        <w:shd w:val="clear" w:color="auto" w:fill="FFFFFF"/>
        <w:spacing w:line="555" w:lineRule="atLeast"/>
        <w:ind w:firstLine="645"/>
        <w:jc w:val="left"/>
        <w:rPr>
          <w:rFonts w:ascii="Arial" w:hAnsi="Arial" w:eastAsia="宋体" w:cs="Arial"/>
          <w:color w:val="000000"/>
          <w:kern w:val="0"/>
          <w:sz w:val="24"/>
          <w:szCs w:val="24"/>
        </w:rPr>
      </w:pPr>
      <w:r>
        <w:rPr>
          <w:rFonts w:hint="eastAsia" w:ascii="黑体" w:hAnsi="黑体" w:eastAsia="黑体" w:cs="Times New Roman"/>
          <w:color w:val="000000"/>
          <w:kern w:val="0"/>
          <w:sz w:val="32"/>
          <w:szCs w:val="32"/>
        </w:rPr>
        <w:t>第</w:t>
      </w:r>
      <w:r>
        <w:rPr>
          <w:rFonts w:hint="eastAsia" w:ascii="黑体" w:hAnsi="黑体" w:eastAsia="黑体" w:cs="Times New Roman"/>
          <w:color w:val="000000"/>
          <w:kern w:val="0"/>
          <w:sz w:val="32"/>
          <w:szCs w:val="32"/>
          <w:lang w:eastAsia="zh-CN"/>
        </w:rPr>
        <w:t>九</w:t>
      </w:r>
      <w:r>
        <w:rPr>
          <w:rFonts w:hint="eastAsia" w:ascii="黑体" w:hAnsi="黑体" w:eastAsia="黑体" w:cs="Times New Roman"/>
          <w:color w:val="000000"/>
          <w:kern w:val="0"/>
          <w:sz w:val="32"/>
          <w:szCs w:val="32"/>
        </w:rPr>
        <w:t>条</w:t>
      </w:r>
      <w:r>
        <w:rPr>
          <w:rFonts w:ascii="Times New Roman" w:hAnsi="Times New Roman" w:eastAsia="宋体" w:cs="Times New Roman"/>
          <w:color w:val="000000"/>
          <w:kern w:val="0"/>
          <w:sz w:val="32"/>
          <w:szCs w:val="32"/>
        </w:rPr>
        <w:t> </w:t>
      </w:r>
      <w:r>
        <w:rPr>
          <w:rFonts w:hint="eastAsia" w:ascii="仿宋_GB2312" w:hAnsi="Times New Roman" w:eastAsia="仿宋_GB2312" w:cs="Times New Roman"/>
          <w:color w:val="000000"/>
          <w:kern w:val="0"/>
          <w:sz w:val="32"/>
          <w:szCs w:val="32"/>
        </w:rPr>
        <w:t>对入廊存在争议的，应由管廊建设（运营）单位会同管线权属单位</w:t>
      </w:r>
      <w:r>
        <w:rPr>
          <w:rFonts w:hint="eastAsia" w:ascii="仿宋_GB2312" w:hAnsi="Times New Roman" w:eastAsia="仿宋_GB2312" w:cs="Times New Roman"/>
          <w:color w:val="000000"/>
          <w:kern w:val="0"/>
          <w:sz w:val="32"/>
          <w:szCs w:val="32"/>
          <w:lang w:eastAsia="zh-CN"/>
        </w:rPr>
        <w:t>向</w:t>
      </w:r>
      <w:r>
        <w:rPr>
          <w:rFonts w:hint="eastAsia" w:ascii="仿宋_GB2312" w:hAnsi="Times New Roman" w:eastAsia="仿宋_GB2312" w:cs="Times New Roman"/>
          <w:color w:val="000000"/>
          <w:kern w:val="0"/>
          <w:sz w:val="32"/>
          <w:szCs w:val="32"/>
        </w:rPr>
        <w:t>市城乡建设部门提出申请。</w:t>
      </w:r>
      <w:r>
        <w:rPr>
          <w:rFonts w:hint="eastAsia" w:ascii="仿宋_GB2312" w:hAnsi="Times New Roman" w:eastAsia="仿宋_GB2312" w:cs="Times New Roman"/>
          <w:color w:val="000000"/>
          <w:kern w:val="0"/>
          <w:sz w:val="32"/>
          <w:szCs w:val="32"/>
          <w:lang w:eastAsia="zh-CN"/>
        </w:rPr>
        <w:t>由</w:t>
      </w:r>
      <w:r>
        <w:rPr>
          <w:rFonts w:hint="eastAsia" w:ascii="仿宋_GB2312" w:hAnsi="Times New Roman" w:eastAsia="仿宋_GB2312" w:cs="Times New Roman"/>
          <w:color w:val="000000"/>
          <w:kern w:val="0"/>
          <w:sz w:val="32"/>
          <w:szCs w:val="32"/>
        </w:rPr>
        <w:t>市城乡建设部门组织专家论证；专家论证结果作为该管线应否入廊的参考依据。</w:t>
      </w:r>
    </w:p>
    <w:p w14:paraId="4FBE0A0F">
      <w:pPr>
        <w:widowControl/>
        <w:shd w:val="clear" w:color="auto" w:fill="FFFFFF"/>
        <w:spacing w:line="555" w:lineRule="atLeast"/>
        <w:ind w:firstLine="645"/>
        <w:jc w:val="left"/>
        <w:rPr>
          <w:rFonts w:hint="eastAsia" w:ascii="仿宋_GB2312" w:hAnsi="Times New Roman" w:eastAsia="仿宋_GB2312" w:cs="Times New Roman"/>
          <w:color w:val="000000"/>
          <w:kern w:val="0"/>
          <w:sz w:val="32"/>
          <w:szCs w:val="32"/>
        </w:rPr>
      </w:pPr>
      <w:r>
        <w:rPr>
          <w:rFonts w:hint="eastAsia" w:ascii="仿宋_GB2312" w:hAnsi="Times New Roman" w:eastAsia="仿宋_GB2312" w:cs="Times New Roman"/>
          <w:color w:val="000000"/>
          <w:kern w:val="0"/>
          <w:sz w:val="32"/>
          <w:szCs w:val="32"/>
        </w:rPr>
        <w:t>专家应来自涉及城市规划、综合管廊、相应管线等相关行业的第三方机构。</w:t>
      </w:r>
    </w:p>
    <w:p w14:paraId="0E822268">
      <w:pPr>
        <w:widowControl/>
        <w:shd w:val="clear" w:color="auto" w:fill="FFFFFF"/>
        <w:spacing w:line="555" w:lineRule="atLeast"/>
        <w:ind w:firstLine="645"/>
        <w:jc w:val="left"/>
        <w:rPr>
          <w:rFonts w:hint="eastAsia" w:ascii="仿宋_GB2312" w:hAnsi="Times New Roman" w:eastAsia="仿宋_GB2312" w:cs="Times New Roman"/>
          <w:color w:val="000000"/>
          <w:kern w:val="0"/>
          <w:sz w:val="32"/>
          <w:szCs w:val="32"/>
        </w:rPr>
      </w:pPr>
      <w:r>
        <w:rPr>
          <w:rFonts w:hint="eastAsia" w:ascii="黑体" w:hAnsi="黑体" w:eastAsia="黑体" w:cs="Times New Roman"/>
          <w:color w:val="000000"/>
          <w:kern w:val="0"/>
          <w:sz w:val="32"/>
          <w:szCs w:val="32"/>
        </w:rPr>
        <w:t>第</w:t>
      </w:r>
      <w:r>
        <w:rPr>
          <w:rFonts w:hint="eastAsia" w:ascii="黑体" w:hAnsi="黑体" w:eastAsia="黑体" w:cs="Times New Roman"/>
          <w:color w:val="000000"/>
          <w:kern w:val="0"/>
          <w:sz w:val="32"/>
          <w:szCs w:val="32"/>
          <w:lang w:eastAsia="zh-CN"/>
        </w:rPr>
        <w:t>十</w:t>
      </w:r>
      <w:r>
        <w:rPr>
          <w:rFonts w:hint="eastAsia" w:ascii="黑体" w:hAnsi="黑体" w:eastAsia="黑体" w:cs="Times New Roman"/>
          <w:color w:val="000000"/>
          <w:kern w:val="0"/>
          <w:sz w:val="32"/>
          <w:szCs w:val="32"/>
        </w:rPr>
        <w:t>条 </w:t>
      </w:r>
      <w:r>
        <w:rPr>
          <w:rFonts w:hint="eastAsia" w:ascii="仿宋_GB2312" w:hAnsi="Times New Roman" w:eastAsia="仿宋_GB2312" w:cs="Times New Roman"/>
          <w:color w:val="000000"/>
          <w:kern w:val="0"/>
          <w:sz w:val="32"/>
          <w:szCs w:val="32"/>
        </w:rPr>
        <w:t>对应当入廊的地下管线工程在综合管廊以外位置施工的，相关部门要对违规的建设、设计、施工、监理单位进行处罚，情节严重的，要将违规单位及主要责任人列入诚信黑名单。</w:t>
      </w:r>
    </w:p>
    <w:p w14:paraId="323D7EEB">
      <w:pPr>
        <w:widowControl/>
        <w:shd w:val="clear" w:color="auto" w:fill="FFFFFF"/>
        <w:spacing w:line="555" w:lineRule="atLeast"/>
        <w:ind w:firstLine="645"/>
        <w:jc w:val="left"/>
        <w:rPr>
          <w:rFonts w:hint="eastAsia" w:ascii="仿宋_GB2312" w:hAnsi="Times New Roman" w:eastAsia="仿宋_GB2312" w:cs="Times New Roman"/>
          <w:color w:val="000000"/>
          <w:kern w:val="0"/>
          <w:sz w:val="32"/>
          <w:szCs w:val="32"/>
          <w:highlight w:val="yellow"/>
          <w:lang w:eastAsia="zh-CN"/>
        </w:rPr>
      </w:pPr>
      <w:r>
        <w:rPr>
          <w:rFonts w:hint="eastAsia" w:ascii="黑体" w:hAnsi="黑体" w:eastAsia="黑体" w:cs="Times New Roman"/>
          <w:color w:val="000000"/>
          <w:kern w:val="0"/>
          <w:sz w:val="32"/>
          <w:szCs w:val="32"/>
        </w:rPr>
        <w:t>第</w:t>
      </w:r>
      <w:r>
        <w:rPr>
          <w:rFonts w:hint="eastAsia" w:ascii="黑体" w:hAnsi="黑体" w:eastAsia="黑体" w:cs="Times New Roman"/>
          <w:color w:val="000000"/>
          <w:kern w:val="0"/>
          <w:sz w:val="32"/>
          <w:szCs w:val="32"/>
          <w:lang w:eastAsia="zh-CN"/>
        </w:rPr>
        <w:t>十一</w:t>
      </w:r>
      <w:r>
        <w:rPr>
          <w:rFonts w:hint="eastAsia" w:ascii="黑体" w:hAnsi="黑体" w:eastAsia="黑体" w:cs="Times New Roman"/>
          <w:color w:val="000000"/>
          <w:kern w:val="0"/>
          <w:sz w:val="32"/>
          <w:szCs w:val="32"/>
        </w:rPr>
        <w:t>条</w:t>
      </w:r>
      <w:r>
        <w:rPr>
          <w:rFonts w:ascii="Times New Roman" w:hAnsi="Times New Roman" w:eastAsia="宋体" w:cs="Times New Roman"/>
          <w:color w:val="000000"/>
          <w:kern w:val="0"/>
          <w:sz w:val="32"/>
          <w:szCs w:val="32"/>
        </w:rPr>
        <w:t> </w:t>
      </w:r>
      <w:r>
        <w:rPr>
          <w:rFonts w:hint="eastAsia" w:ascii="仿宋_GB2312" w:hAnsi="Times New Roman" w:eastAsia="仿宋_GB2312" w:cs="Times New Roman"/>
          <w:color w:val="000000"/>
          <w:kern w:val="0"/>
          <w:sz w:val="32"/>
          <w:szCs w:val="32"/>
          <w:lang w:eastAsia="zh-CN"/>
        </w:rPr>
        <w:t>纳入地下综合管廊的管线权属单位应当向</w:t>
      </w:r>
      <w:r>
        <w:rPr>
          <w:rFonts w:hint="eastAsia" w:ascii="仿宋_GB2312" w:hAnsi="Times New Roman" w:eastAsia="仿宋_GB2312" w:cs="Times New Roman"/>
          <w:color w:val="000000"/>
          <w:kern w:val="0"/>
          <w:sz w:val="32"/>
          <w:szCs w:val="32"/>
        </w:rPr>
        <w:t>管廊建设（运营）单位</w:t>
      </w:r>
      <w:r>
        <w:rPr>
          <w:rFonts w:hint="eastAsia" w:ascii="仿宋_GB2312" w:hAnsi="Times New Roman" w:eastAsia="仿宋_GB2312" w:cs="Times New Roman"/>
          <w:color w:val="000000"/>
          <w:kern w:val="0"/>
          <w:sz w:val="32"/>
          <w:szCs w:val="32"/>
          <w:lang w:eastAsia="zh-CN"/>
        </w:rPr>
        <w:t>交纳综合管廊入廊使用</w:t>
      </w:r>
      <w:r>
        <w:rPr>
          <w:rFonts w:hint="eastAsia" w:ascii="仿宋_GB2312" w:hAnsi="Times New Roman" w:eastAsia="仿宋_GB2312" w:cs="Times New Roman"/>
          <w:color w:val="000000"/>
          <w:kern w:val="0"/>
          <w:sz w:val="32"/>
          <w:szCs w:val="32"/>
          <w:highlight w:val="none"/>
          <w:lang w:eastAsia="zh-CN"/>
        </w:rPr>
        <w:t>费。</w:t>
      </w:r>
    </w:p>
    <w:p w14:paraId="44CA85FA">
      <w:pPr>
        <w:widowControl/>
        <w:shd w:val="clear" w:color="auto" w:fill="FFFFFF"/>
        <w:spacing w:line="555" w:lineRule="atLeast"/>
        <w:ind w:firstLine="645"/>
        <w:jc w:val="left"/>
        <w:rPr>
          <w:rFonts w:hint="eastAsia" w:ascii="仿宋_GB2312" w:hAnsi="Times New Roman" w:eastAsia="仿宋_GB2312" w:cs="Times New Roman"/>
          <w:color w:val="000000"/>
          <w:kern w:val="0"/>
          <w:sz w:val="32"/>
          <w:szCs w:val="32"/>
          <w:lang w:eastAsia="zh-CN"/>
        </w:rPr>
      </w:pPr>
      <w:r>
        <w:rPr>
          <w:rFonts w:hint="eastAsia" w:ascii="仿宋_GB2312" w:hAnsi="Times New Roman" w:eastAsia="仿宋_GB2312" w:cs="Times New Roman"/>
          <w:color w:val="000000"/>
          <w:kern w:val="0"/>
          <w:sz w:val="32"/>
          <w:szCs w:val="32"/>
          <w:lang w:eastAsia="zh-CN"/>
        </w:rPr>
        <w:t>收费具体办法由市政府价格主管部门会同市城乡建设部门制定。</w:t>
      </w:r>
    </w:p>
    <w:p w14:paraId="1C67A959">
      <w:pPr>
        <w:widowControl/>
        <w:shd w:val="clear" w:color="auto" w:fill="FFFFFF"/>
        <w:spacing w:line="555" w:lineRule="atLeast"/>
        <w:ind w:firstLine="645"/>
        <w:jc w:val="left"/>
        <w:rPr>
          <w:rFonts w:hint="eastAsia" w:ascii="仿宋_GB2312" w:hAnsi="Times New Roman" w:eastAsia="仿宋_GB2312" w:cs="Times New Roman"/>
          <w:color w:val="000000"/>
          <w:kern w:val="0"/>
          <w:sz w:val="32"/>
          <w:szCs w:val="32"/>
          <w:lang w:eastAsia="zh-CN"/>
        </w:rPr>
      </w:pPr>
      <w:r>
        <w:rPr>
          <w:rFonts w:hint="eastAsia" w:ascii="仿宋_GB2312" w:hAnsi="Times New Roman" w:eastAsia="仿宋_GB2312" w:cs="Times New Roman"/>
          <w:color w:val="000000"/>
          <w:kern w:val="0"/>
          <w:sz w:val="32"/>
          <w:szCs w:val="32"/>
          <w:lang w:eastAsia="zh-CN"/>
        </w:rPr>
        <w:t>综合管廊运营不能通过收费弥补成本的，市政府应当根据实际情况，给予必要的财政补贴。</w:t>
      </w:r>
    </w:p>
    <w:p w14:paraId="519D6F4D">
      <w:pPr>
        <w:widowControl/>
        <w:shd w:val="clear" w:color="auto" w:fill="FFFFFF"/>
        <w:spacing w:line="555" w:lineRule="atLeast"/>
        <w:ind w:firstLine="645"/>
        <w:jc w:val="left"/>
        <w:rPr>
          <w:rFonts w:ascii="Arial" w:hAnsi="Arial" w:eastAsia="宋体" w:cs="Arial"/>
          <w:color w:val="000000"/>
          <w:kern w:val="0"/>
          <w:sz w:val="24"/>
          <w:szCs w:val="24"/>
        </w:rPr>
      </w:pPr>
      <w:r>
        <w:rPr>
          <w:rFonts w:hint="eastAsia" w:ascii="黑体" w:hAnsi="黑体" w:eastAsia="黑体" w:cs="Times New Roman"/>
          <w:color w:val="000000"/>
          <w:kern w:val="0"/>
          <w:sz w:val="32"/>
          <w:szCs w:val="32"/>
        </w:rPr>
        <w:t>第十</w:t>
      </w:r>
      <w:r>
        <w:rPr>
          <w:rFonts w:hint="eastAsia" w:ascii="黑体" w:hAnsi="黑体" w:eastAsia="黑体" w:cs="Times New Roman"/>
          <w:color w:val="000000"/>
          <w:kern w:val="0"/>
          <w:sz w:val="32"/>
          <w:szCs w:val="32"/>
          <w:lang w:eastAsia="zh-CN"/>
        </w:rPr>
        <w:t>二</w:t>
      </w:r>
      <w:r>
        <w:rPr>
          <w:rFonts w:hint="eastAsia" w:ascii="黑体" w:hAnsi="黑体" w:eastAsia="黑体" w:cs="Times New Roman"/>
          <w:color w:val="000000"/>
          <w:kern w:val="0"/>
          <w:sz w:val="32"/>
          <w:szCs w:val="32"/>
        </w:rPr>
        <w:t>条</w:t>
      </w:r>
      <w:r>
        <w:rPr>
          <w:rFonts w:ascii="Times New Roman" w:hAnsi="Times New Roman" w:eastAsia="宋体" w:cs="Times New Roman"/>
          <w:b/>
          <w:bCs/>
          <w:color w:val="000000"/>
          <w:kern w:val="0"/>
          <w:sz w:val="32"/>
          <w:szCs w:val="32"/>
        </w:rPr>
        <w:t> </w:t>
      </w:r>
      <w:r>
        <w:rPr>
          <w:rFonts w:hint="eastAsia" w:ascii="仿宋_GB2312" w:hAnsi="Times New Roman" w:eastAsia="仿宋_GB2312" w:cs="Times New Roman"/>
          <w:color w:val="000000"/>
          <w:kern w:val="0"/>
          <w:sz w:val="32"/>
          <w:szCs w:val="32"/>
        </w:rPr>
        <w:t>具备入廊条件的地下管线工程，管线权属单位应依法履行基本建设程序，管廊建设（运营）单位要明确综合技术标准、管线入廊工程技术质量、施工方法</w:t>
      </w:r>
      <w:r>
        <w:rPr>
          <w:rFonts w:hint="eastAsia" w:ascii="仿宋_GB2312" w:hAnsi="Times New Roman" w:eastAsia="仿宋_GB2312" w:cs="Times New Roman"/>
          <w:color w:val="000000"/>
          <w:kern w:val="0"/>
          <w:sz w:val="32"/>
          <w:szCs w:val="32"/>
          <w:lang w:eastAsia="zh-CN"/>
        </w:rPr>
        <w:t>、</w:t>
      </w:r>
      <w:r>
        <w:rPr>
          <w:rFonts w:hint="eastAsia" w:ascii="仿宋_GB2312" w:hAnsi="Times New Roman" w:eastAsia="仿宋_GB2312" w:cs="Times New Roman"/>
          <w:color w:val="000000"/>
          <w:kern w:val="0"/>
          <w:sz w:val="32"/>
          <w:szCs w:val="32"/>
        </w:rPr>
        <w:t>措施和安全事项等要求。　</w:t>
      </w:r>
    </w:p>
    <w:p w14:paraId="5AD9E82A">
      <w:pPr>
        <w:widowControl/>
        <w:shd w:val="clear" w:color="auto" w:fill="FFFFFF"/>
        <w:spacing w:line="555" w:lineRule="atLeast"/>
        <w:ind w:firstLine="645"/>
        <w:jc w:val="left"/>
        <w:rPr>
          <w:rFonts w:ascii="Arial" w:hAnsi="Arial" w:eastAsia="宋体" w:cs="Arial"/>
          <w:color w:val="000000"/>
          <w:kern w:val="0"/>
          <w:sz w:val="24"/>
          <w:szCs w:val="24"/>
        </w:rPr>
      </w:pPr>
      <w:r>
        <w:rPr>
          <w:rFonts w:hint="eastAsia" w:ascii="黑体" w:hAnsi="黑体" w:eastAsia="黑体" w:cs="Times New Roman"/>
          <w:color w:val="000000"/>
          <w:kern w:val="0"/>
          <w:sz w:val="32"/>
          <w:szCs w:val="32"/>
        </w:rPr>
        <w:t>第十</w:t>
      </w:r>
      <w:r>
        <w:rPr>
          <w:rFonts w:hint="eastAsia" w:ascii="黑体" w:hAnsi="黑体" w:eastAsia="黑体" w:cs="Times New Roman"/>
          <w:color w:val="000000"/>
          <w:kern w:val="0"/>
          <w:sz w:val="32"/>
          <w:szCs w:val="32"/>
          <w:lang w:eastAsia="zh-CN"/>
        </w:rPr>
        <w:t>三</w:t>
      </w:r>
      <w:r>
        <w:rPr>
          <w:rFonts w:hint="eastAsia" w:ascii="黑体" w:hAnsi="黑体" w:eastAsia="黑体" w:cs="Times New Roman"/>
          <w:color w:val="000000"/>
          <w:kern w:val="0"/>
          <w:sz w:val="32"/>
          <w:szCs w:val="32"/>
        </w:rPr>
        <w:t>条</w:t>
      </w:r>
      <w:r>
        <w:rPr>
          <w:rFonts w:ascii="Times New Roman" w:hAnsi="Times New Roman" w:eastAsia="宋体" w:cs="Times New Roman"/>
          <w:color w:val="000000"/>
          <w:kern w:val="0"/>
          <w:sz w:val="32"/>
          <w:szCs w:val="32"/>
        </w:rPr>
        <w:t> </w:t>
      </w:r>
      <w:r>
        <w:rPr>
          <w:rFonts w:hint="eastAsia" w:ascii="仿宋_GB2312" w:hAnsi="Times New Roman" w:eastAsia="仿宋_GB2312" w:cs="Times New Roman"/>
          <w:color w:val="000000"/>
          <w:kern w:val="0"/>
          <w:sz w:val="32"/>
          <w:szCs w:val="32"/>
        </w:rPr>
        <w:t>地下管线入廊工程施工前，管线权属单位应与地下综合管廊建设运营单位签订入廊协议（合同），明确入廊管线种类、时间、费</w:t>
      </w:r>
      <w:r>
        <w:rPr>
          <w:rFonts w:hint="eastAsia" w:ascii="仿宋_GB2312" w:hAnsi="Times New Roman" w:eastAsia="仿宋_GB2312" w:cs="Times New Roman"/>
          <w:color w:val="000000"/>
          <w:kern w:val="0"/>
          <w:sz w:val="32"/>
          <w:szCs w:val="32"/>
          <w:lang w:eastAsia="zh-CN"/>
        </w:rPr>
        <w:t>用、权利和义务</w:t>
      </w:r>
      <w:r>
        <w:rPr>
          <w:rFonts w:hint="eastAsia" w:ascii="仿宋_GB2312" w:hAnsi="Times New Roman" w:eastAsia="仿宋_GB2312" w:cs="Times New Roman"/>
          <w:color w:val="000000"/>
          <w:kern w:val="0"/>
          <w:sz w:val="32"/>
          <w:szCs w:val="32"/>
        </w:rPr>
        <w:t>等内容。</w:t>
      </w:r>
    </w:p>
    <w:p w14:paraId="258B9FBA">
      <w:pPr>
        <w:widowControl/>
        <w:shd w:val="clear" w:color="auto" w:fill="FFFFFF"/>
        <w:spacing w:line="555" w:lineRule="atLeast"/>
        <w:ind w:firstLine="645"/>
        <w:jc w:val="left"/>
        <w:rPr>
          <w:rFonts w:hint="eastAsia" w:ascii="仿宋_GB2312" w:hAnsi="Times New Roman" w:eastAsia="仿宋_GB2312" w:cs="Times New Roman"/>
          <w:color w:val="000000"/>
          <w:kern w:val="0"/>
          <w:sz w:val="32"/>
          <w:szCs w:val="32"/>
        </w:rPr>
      </w:pPr>
      <w:r>
        <w:rPr>
          <w:rFonts w:hint="eastAsia" w:ascii="黑体" w:hAnsi="黑体" w:eastAsia="黑体" w:cs="Times New Roman"/>
          <w:color w:val="000000"/>
          <w:kern w:val="0"/>
          <w:sz w:val="32"/>
          <w:szCs w:val="32"/>
        </w:rPr>
        <w:t>第十</w:t>
      </w:r>
      <w:r>
        <w:rPr>
          <w:rFonts w:hint="eastAsia" w:ascii="黑体" w:hAnsi="黑体" w:eastAsia="黑体" w:cs="Times New Roman"/>
          <w:color w:val="000000"/>
          <w:kern w:val="0"/>
          <w:sz w:val="32"/>
          <w:szCs w:val="32"/>
          <w:lang w:eastAsia="zh-CN"/>
        </w:rPr>
        <w:t>四</w:t>
      </w:r>
      <w:r>
        <w:rPr>
          <w:rFonts w:hint="eastAsia" w:ascii="黑体" w:hAnsi="黑体" w:eastAsia="黑体" w:cs="Times New Roman"/>
          <w:color w:val="000000"/>
          <w:kern w:val="0"/>
          <w:sz w:val="32"/>
          <w:szCs w:val="32"/>
        </w:rPr>
        <w:t>条</w:t>
      </w:r>
      <w:r>
        <w:rPr>
          <w:rFonts w:ascii="Times New Roman" w:hAnsi="Times New Roman" w:eastAsia="宋体" w:cs="Times New Roman"/>
          <w:b/>
          <w:bCs/>
          <w:color w:val="000000"/>
          <w:kern w:val="0"/>
          <w:sz w:val="32"/>
          <w:szCs w:val="32"/>
        </w:rPr>
        <w:t> </w:t>
      </w:r>
      <w:r>
        <w:rPr>
          <w:rFonts w:hint="eastAsia" w:ascii="仿宋_GB2312" w:hAnsi="Times New Roman" w:eastAsia="仿宋_GB2312" w:cs="Times New Roman"/>
          <w:color w:val="000000"/>
          <w:kern w:val="0"/>
          <w:sz w:val="32"/>
          <w:szCs w:val="32"/>
        </w:rPr>
        <w:t>管线权属单位应按照管廊建设（运营）单位统筹安排的建设时序和工期要求，有序施工，不得无故拖延工期，不得影响其他交叉作业施工，不得野蛮施工。</w:t>
      </w:r>
    </w:p>
    <w:p w14:paraId="19A18191">
      <w:pPr>
        <w:widowControl/>
        <w:shd w:val="clear" w:color="auto" w:fill="FFFFFF"/>
        <w:spacing w:line="555" w:lineRule="atLeast"/>
        <w:ind w:firstLine="480"/>
        <w:jc w:val="center"/>
        <w:rPr>
          <w:rFonts w:hint="eastAsia" w:ascii="Times New Roman" w:hAnsi="Times New Roman" w:eastAsia="宋体" w:cs="Times New Roman"/>
          <w:b/>
          <w:bCs/>
          <w:color w:val="000000"/>
          <w:kern w:val="0"/>
          <w:sz w:val="32"/>
          <w:szCs w:val="32"/>
          <w:lang w:eastAsia="zh-CN"/>
        </w:rPr>
      </w:pPr>
      <w:r>
        <w:rPr>
          <w:rFonts w:hint="eastAsia" w:ascii="Times New Roman" w:hAnsi="Times New Roman" w:eastAsia="宋体" w:cs="Times New Roman"/>
          <w:b/>
          <w:bCs/>
          <w:color w:val="000000"/>
          <w:kern w:val="0"/>
          <w:sz w:val="32"/>
          <w:szCs w:val="32"/>
          <w:lang w:eastAsia="zh-CN"/>
        </w:rPr>
        <w:t>第三章运营维护管理</w:t>
      </w:r>
    </w:p>
    <w:p w14:paraId="25B93C12">
      <w:pPr>
        <w:widowControl/>
        <w:shd w:val="clear" w:color="auto" w:fill="FFFFFF"/>
        <w:spacing w:line="555" w:lineRule="atLeast"/>
        <w:ind w:firstLine="645"/>
        <w:jc w:val="left"/>
        <w:rPr>
          <w:rFonts w:hint="eastAsia" w:ascii="仿宋_GB2312" w:hAnsi="Times New Roman" w:eastAsia="仿宋_GB2312" w:cs="Times New Roman"/>
          <w:color w:val="000000"/>
          <w:kern w:val="0"/>
          <w:sz w:val="32"/>
          <w:szCs w:val="32"/>
        </w:rPr>
      </w:pPr>
      <w:r>
        <w:rPr>
          <w:rFonts w:hint="eastAsia" w:ascii="黑体" w:hAnsi="黑体" w:eastAsia="黑体" w:cs="Times New Roman"/>
          <w:color w:val="000000"/>
          <w:kern w:val="0"/>
          <w:sz w:val="32"/>
          <w:szCs w:val="32"/>
        </w:rPr>
        <w:t>第十</w:t>
      </w:r>
      <w:r>
        <w:rPr>
          <w:rFonts w:hint="eastAsia" w:ascii="黑体" w:hAnsi="黑体" w:eastAsia="黑体" w:cs="Times New Roman"/>
          <w:color w:val="000000"/>
          <w:kern w:val="0"/>
          <w:sz w:val="32"/>
          <w:szCs w:val="32"/>
          <w:lang w:eastAsia="zh-CN"/>
        </w:rPr>
        <w:t>五</w:t>
      </w:r>
      <w:r>
        <w:rPr>
          <w:rFonts w:hint="eastAsia" w:ascii="黑体" w:hAnsi="黑体" w:eastAsia="黑体" w:cs="Times New Roman"/>
          <w:color w:val="000000"/>
          <w:kern w:val="0"/>
          <w:sz w:val="32"/>
          <w:szCs w:val="32"/>
        </w:rPr>
        <w:t>条</w:t>
      </w:r>
      <w:r>
        <w:rPr>
          <w:rFonts w:ascii="Times New Roman" w:hAnsi="Times New Roman" w:eastAsia="宋体" w:cs="Times New Roman"/>
          <w:b/>
          <w:bCs/>
          <w:color w:val="000000"/>
          <w:kern w:val="0"/>
          <w:sz w:val="32"/>
          <w:szCs w:val="32"/>
        </w:rPr>
        <w:t> </w:t>
      </w:r>
      <w:r>
        <w:rPr>
          <w:rFonts w:hint="eastAsia" w:ascii="仿宋_GB2312" w:hAnsi="Times New Roman" w:eastAsia="仿宋_GB2312" w:cs="Times New Roman"/>
          <w:color w:val="000000"/>
          <w:kern w:val="0"/>
          <w:sz w:val="32"/>
          <w:szCs w:val="32"/>
        </w:rPr>
        <w:t>管廊建设（运营）单位应履行如下职责：</w:t>
      </w:r>
    </w:p>
    <w:p w14:paraId="25A3824E">
      <w:pPr>
        <w:widowControl/>
        <w:shd w:val="clear" w:color="auto" w:fill="FFFFFF"/>
        <w:spacing w:line="555" w:lineRule="atLeast"/>
        <w:ind w:firstLine="645"/>
        <w:jc w:val="left"/>
        <w:rPr>
          <w:rFonts w:hint="eastAsia" w:ascii="仿宋_GB2312" w:hAnsi="Times New Roman" w:eastAsia="仿宋_GB2312" w:cs="Times New Roman"/>
          <w:color w:val="000000"/>
          <w:kern w:val="0"/>
          <w:sz w:val="32"/>
          <w:szCs w:val="32"/>
        </w:rPr>
      </w:pPr>
      <w:r>
        <w:rPr>
          <w:rFonts w:hint="eastAsia" w:ascii="仿宋_GB2312" w:hAnsi="Times New Roman" w:eastAsia="仿宋_GB2312" w:cs="Times New Roman"/>
          <w:color w:val="000000"/>
          <w:kern w:val="0"/>
          <w:sz w:val="32"/>
          <w:szCs w:val="32"/>
        </w:rPr>
        <w:t>(一)建立健全管廊管理制度和工作流程，实行规范化管理，并接受相关主管部门的监督和管理。</w:t>
      </w:r>
    </w:p>
    <w:p w14:paraId="53A543A1">
      <w:pPr>
        <w:widowControl/>
        <w:shd w:val="clear" w:color="auto" w:fill="FFFFFF"/>
        <w:spacing w:line="555" w:lineRule="atLeast"/>
        <w:ind w:firstLine="645"/>
        <w:jc w:val="left"/>
        <w:rPr>
          <w:rFonts w:hint="eastAsia" w:ascii="仿宋_GB2312" w:hAnsi="Times New Roman" w:eastAsia="仿宋_GB2312" w:cs="Times New Roman"/>
          <w:color w:val="000000"/>
          <w:kern w:val="0"/>
          <w:sz w:val="32"/>
          <w:szCs w:val="32"/>
          <w:lang w:val="en-US" w:eastAsia="zh-CN"/>
        </w:rPr>
      </w:pPr>
      <w:r>
        <w:rPr>
          <w:rFonts w:hint="eastAsia" w:ascii="仿宋_GB2312" w:hAnsi="Times New Roman" w:eastAsia="仿宋_GB2312" w:cs="Times New Roman"/>
          <w:color w:val="000000"/>
          <w:kern w:val="0"/>
          <w:sz w:val="32"/>
          <w:szCs w:val="32"/>
        </w:rPr>
        <w:t>（二）定期检测评定地下综合管廊及附属设施，</w:t>
      </w:r>
      <w:r>
        <w:rPr>
          <w:rFonts w:hint="eastAsia" w:ascii="仿宋_GB2312" w:hAnsi="Times New Roman" w:eastAsia="仿宋_GB2312" w:cs="Times New Roman"/>
          <w:color w:val="000000"/>
          <w:kern w:val="0"/>
          <w:sz w:val="32"/>
          <w:szCs w:val="32"/>
          <w:lang w:eastAsia="zh-CN"/>
        </w:rPr>
        <w:t>并进行</w:t>
      </w:r>
      <w:r>
        <w:rPr>
          <w:rFonts w:hint="eastAsia" w:ascii="仿宋_GB2312" w:hAnsi="Times New Roman" w:eastAsia="仿宋_GB2312" w:cs="Times New Roman"/>
          <w:color w:val="000000"/>
          <w:kern w:val="0"/>
          <w:sz w:val="32"/>
          <w:szCs w:val="32"/>
        </w:rPr>
        <w:t>养护维修，保持管廊内整洁，保持通风良好</w:t>
      </w:r>
      <w:r>
        <w:rPr>
          <w:rFonts w:hint="eastAsia" w:ascii="仿宋_GB2312" w:hAnsi="Times New Roman" w:eastAsia="仿宋_GB2312" w:cs="Times New Roman"/>
          <w:color w:val="000000"/>
          <w:kern w:val="0"/>
          <w:sz w:val="32"/>
          <w:szCs w:val="32"/>
          <w:lang w:eastAsia="zh-CN"/>
        </w:rPr>
        <w:t>，</w:t>
      </w:r>
      <w:r>
        <w:rPr>
          <w:rFonts w:hint="eastAsia" w:ascii="仿宋_GB2312" w:hAnsi="Times New Roman" w:eastAsia="仿宋_GB2312" w:cs="Times New Roman"/>
          <w:color w:val="000000"/>
          <w:kern w:val="0"/>
          <w:sz w:val="32"/>
          <w:szCs w:val="32"/>
        </w:rPr>
        <w:t>确保设施设备处于良好的运行状态</w:t>
      </w:r>
      <w:r>
        <w:rPr>
          <w:rFonts w:hint="eastAsia" w:ascii="仿宋_GB2312" w:hAnsi="Times New Roman" w:eastAsia="仿宋_GB2312" w:cs="Times New Roman"/>
          <w:color w:val="000000"/>
          <w:kern w:val="0"/>
          <w:sz w:val="32"/>
          <w:szCs w:val="32"/>
          <w:lang w:val="en-US" w:eastAsia="zh-CN"/>
        </w:rPr>
        <w:t>。</w:t>
      </w:r>
    </w:p>
    <w:p w14:paraId="2F56869D">
      <w:pPr>
        <w:widowControl/>
        <w:shd w:val="clear" w:color="auto" w:fill="FFFFFF"/>
        <w:spacing w:line="555" w:lineRule="atLeast"/>
        <w:ind w:firstLine="645"/>
        <w:jc w:val="left"/>
        <w:rPr>
          <w:rFonts w:hint="eastAsia" w:ascii="Arial" w:hAnsi="Arial" w:eastAsia="仿宋_GB2312" w:cs="Arial"/>
          <w:color w:val="000000"/>
          <w:kern w:val="0"/>
          <w:sz w:val="24"/>
          <w:szCs w:val="24"/>
          <w:lang w:eastAsia="zh-CN"/>
        </w:rPr>
      </w:pPr>
      <w:r>
        <w:rPr>
          <w:rFonts w:hint="eastAsia" w:ascii="仿宋_GB2312" w:hAnsi="Times New Roman" w:eastAsia="仿宋_GB2312" w:cs="Times New Roman"/>
          <w:color w:val="000000"/>
          <w:kern w:val="0"/>
          <w:sz w:val="32"/>
          <w:szCs w:val="32"/>
        </w:rPr>
        <w:t>（</w:t>
      </w:r>
      <w:r>
        <w:rPr>
          <w:rFonts w:hint="eastAsia" w:ascii="仿宋_GB2312" w:hAnsi="Times New Roman" w:eastAsia="仿宋_GB2312" w:cs="Times New Roman"/>
          <w:color w:val="000000"/>
          <w:kern w:val="0"/>
          <w:sz w:val="32"/>
          <w:szCs w:val="32"/>
          <w:lang w:eastAsia="zh-CN"/>
        </w:rPr>
        <w:t>三</w:t>
      </w:r>
      <w:r>
        <w:rPr>
          <w:rFonts w:hint="eastAsia" w:ascii="仿宋_GB2312" w:hAnsi="Times New Roman" w:eastAsia="仿宋_GB2312" w:cs="Times New Roman"/>
          <w:color w:val="000000"/>
          <w:kern w:val="0"/>
          <w:sz w:val="32"/>
          <w:szCs w:val="32"/>
        </w:rPr>
        <w:t>）督促管线权属单位编制管线安全防范措施、隐患治理和应急处置预案</w:t>
      </w:r>
      <w:r>
        <w:rPr>
          <w:rFonts w:hint="eastAsia" w:ascii="仿宋_GB2312" w:hAnsi="Times New Roman" w:eastAsia="仿宋_GB2312" w:cs="Times New Roman"/>
          <w:color w:val="000000"/>
          <w:kern w:val="0"/>
          <w:sz w:val="32"/>
          <w:szCs w:val="32"/>
          <w:lang w:eastAsia="zh-CN"/>
        </w:rPr>
        <w:t>。</w:t>
      </w:r>
    </w:p>
    <w:p w14:paraId="2FCD35DD">
      <w:pPr>
        <w:widowControl/>
        <w:shd w:val="clear" w:color="auto" w:fill="FFFFFF"/>
        <w:spacing w:line="555" w:lineRule="atLeast"/>
        <w:ind w:firstLine="645"/>
        <w:jc w:val="left"/>
        <w:rPr>
          <w:rFonts w:hint="eastAsia" w:ascii="Arial" w:hAnsi="Arial" w:eastAsia="仿宋_GB2312" w:cs="Arial"/>
          <w:color w:val="000000"/>
          <w:kern w:val="0"/>
          <w:sz w:val="24"/>
          <w:szCs w:val="24"/>
          <w:lang w:eastAsia="zh-CN"/>
        </w:rPr>
      </w:pPr>
      <w:r>
        <w:rPr>
          <w:rFonts w:hint="eastAsia" w:ascii="仿宋_GB2312" w:hAnsi="Times New Roman" w:eastAsia="仿宋_GB2312" w:cs="Times New Roman"/>
          <w:color w:val="000000"/>
          <w:kern w:val="0"/>
          <w:sz w:val="32"/>
          <w:szCs w:val="32"/>
        </w:rPr>
        <w:t>（</w:t>
      </w:r>
      <w:r>
        <w:rPr>
          <w:rFonts w:hint="eastAsia" w:ascii="仿宋_GB2312" w:hAnsi="Times New Roman" w:eastAsia="仿宋_GB2312" w:cs="Times New Roman"/>
          <w:color w:val="000000"/>
          <w:kern w:val="0"/>
          <w:sz w:val="32"/>
          <w:szCs w:val="32"/>
          <w:lang w:eastAsia="zh-CN"/>
        </w:rPr>
        <w:t>四</w:t>
      </w:r>
      <w:r>
        <w:rPr>
          <w:rFonts w:hint="eastAsia" w:ascii="仿宋_GB2312" w:hAnsi="Times New Roman" w:eastAsia="仿宋_GB2312" w:cs="Times New Roman"/>
          <w:color w:val="000000"/>
          <w:kern w:val="0"/>
          <w:sz w:val="32"/>
          <w:szCs w:val="32"/>
        </w:rPr>
        <w:t>）督促管线权属单位落实自有地下管线年度维护计划，协助管线权属单位做好专业巡查、维护和维修工作</w:t>
      </w:r>
      <w:r>
        <w:rPr>
          <w:rFonts w:hint="eastAsia" w:ascii="仿宋_GB2312" w:hAnsi="Times New Roman" w:eastAsia="仿宋_GB2312" w:cs="Times New Roman"/>
          <w:color w:val="000000"/>
          <w:kern w:val="0"/>
          <w:sz w:val="32"/>
          <w:szCs w:val="32"/>
          <w:lang w:eastAsia="zh-CN"/>
        </w:rPr>
        <w:t>。</w:t>
      </w:r>
    </w:p>
    <w:p w14:paraId="7FF87CA8">
      <w:pPr>
        <w:widowControl/>
        <w:shd w:val="clear" w:color="auto" w:fill="FFFFFF"/>
        <w:spacing w:line="555" w:lineRule="atLeast"/>
        <w:ind w:firstLine="645"/>
        <w:jc w:val="left"/>
        <w:rPr>
          <w:rFonts w:hint="eastAsia" w:ascii="Arial" w:hAnsi="Arial" w:eastAsia="仿宋_GB2312" w:cs="Arial"/>
          <w:color w:val="000000"/>
          <w:kern w:val="0"/>
          <w:sz w:val="24"/>
          <w:szCs w:val="24"/>
          <w:lang w:eastAsia="zh-CN"/>
        </w:rPr>
      </w:pPr>
      <w:r>
        <w:rPr>
          <w:rFonts w:hint="eastAsia" w:ascii="仿宋_GB2312" w:hAnsi="Times New Roman" w:eastAsia="仿宋_GB2312" w:cs="Times New Roman"/>
          <w:color w:val="000000"/>
          <w:kern w:val="0"/>
          <w:sz w:val="32"/>
          <w:szCs w:val="32"/>
        </w:rPr>
        <w:t>（</w:t>
      </w:r>
      <w:r>
        <w:rPr>
          <w:rFonts w:hint="eastAsia" w:ascii="仿宋_GB2312" w:hAnsi="Times New Roman" w:eastAsia="仿宋_GB2312" w:cs="Times New Roman"/>
          <w:color w:val="000000"/>
          <w:kern w:val="0"/>
          <w:sz w:val="32"/>
          <w:szCs w:val="32"/>
          <w:lang w:eastAsia="zh-CN"/>
        </w:rPr>
        <w:t>五</w:t>
      </w:r>
      <w:r>
        <w:rPr>
          <w:rFonts w:hint="eastAsia" w:ascii="仿宋_GB2312" w:hAnsi="Times New Roman" w:eastAsia="仿宋_GB2312" w:cs="Times New Roman"/>
          <w:color w:val="000000"/>
          <w:kern w:val="0"/>
          <w:sz w:val="32"/>
          <w:szCs w:val="32"/>
        </w:rPr>
        <w:t>）制订管廊应急预案，与各管线单位建立日常和应急联络机制</w:t>
      </w:r>
      <w:r>
        <w:rPr>
          <w:rFonts w:hint="eastAsia" w:ascii="仿宋_GB2312" w:hAnsi="Times New Roman" w:eastAsia="仿宋_GB2312" w:cs="Times New Roman"/>
          <w:color w:val="000000"/>
          <w:kern w:val="0"/>
          <w:sz w:val="32"/>
          <w:szCs w:val="32"/>
          <w:lang w:eastAsia="zh-CN"/>
        </w:rPr>
        <w:t>；</w:t>
      </w:r>
      <w:r>
        <w:rPr>
          <w:rFonts w:hint="eastAsia" w:ascii="仿宋_GB2312" w:hAnsi="Times New Roman" w:eastAsia="仿宋_GB2312" w:cs="Times New Roman"/>
          <w:color w:val="000000"/>
          <w:kern w:val="0"/>
          <w:sz w:val="32"/>
          <w:szCs w:val="32"/>
        </w:rPr>
        <w:t>管线发生险情时，立即启动紧急措施，同步通知管线权属单位抢修</w:t>
      </w:r>
      <w:r>
        <w:rPr>
          <w:rFonts w:hint="eastAsia" w:ascii="仿宋_GB2312" w:hAnsi="Times New Roman" w:eastAsia="仿宋_GB2312" w:cs="Times New Roman"/>
          <w:color w:val="000000"/>
          <w:kern w:val="0"/>
          <w:sz w:val="32"/>
          <w:szCs w:val="32"/>
          <w:lang w:eastAsia="zh-CN"/>
        </w:rPr>
        <w:t>。</w:t>
      </w:r>
    </w:p>
    <w:p w14:paraId="07AF2A69">
      <w:pPr>
        <w:widowControl/>
        <w:shd w:val="clear" w:color="auto" w:fill="FFFFFF"/>
        <w:spacing w:line="555" w:lineRule="atLeast"/>
        <w:ind w:firstLine="645"/>
        <w:jc w:val="left"/>
        <w:rPr>
          <w:rFonts w:hint="eastAsia" w:ascii="Arial" w:hAnsi="Arial" w:eastAsia="仿宋_GB2312" w:cs="Arial"/>
          <w:color w:val="000000"/>
          <w:kern w:val="0"/>
          <w:sz w:val="24"/>
          <w:szCs w:val="24"/>
          <w:lang w:eastAsia="zh-CN"/>
        </w:rPr>
      </w:pPr>
      <w:r>
        <w:rPr>
          <w:rFonts w:hint="eastAsia" w:ascii="仿宋_GB2312" w:hAnsi="Times New Roman" w:eastAsia="仿宋_GB2312" w:cs="Times New Roman"/>
          <w:color w:val="000000"/>
          <w:kern w:val="0"/>
          <w:sz w:val="32"/>
          <w:szCs w:val="32"/>
        </w:rPr>
        <w:t>（</w:t>
      </w:r>
      <w:r>
        <w:rPr>
          <w:rFonts w:hint="eastAsia" w:ascii="仿宋_GB2312" w:hAnsi="Times New Roman" w:eastAsia="仿宋_GB2312" w:cs="Times New Roman"/>
          <w:color w:val="000000"/>
          <w:kern w:val="0"/>
          <w:sz w:val="32"/>
          <w:szCs w:val="32"/>
          <w:lang w:eastAsia="zh-CN"/>
        </w:rPr>
        <w:t>六</w:t>
      </w:r>
      <w:r>
        <w:rPr>
          <w:rFonts w:hint="eastAsia" w:ascii="仿宋_GB2312" w:hAnsi="Times New Roman" w:eastAsia="仿宋_GB2312" w:cs="Times New Roman"/>
          <w:color w:val="000000"/>
          <w:kern w:val="0"/>
          <w:sz w:val="32"/>
          <w:szCs w:val="32"/>
        </w:rPr>
        <w:t>）定期对入廊控制范围内的地下管线工程进行排查，对应入未入的地下管线工程，及时向</w:t>
      </w:r>
      <w:r>
        <w:rPr>
          <w:rFonts w:hint="eastAsia" w:ascii="仿宋_GB2312" w:hAnsi="Times New Roman" w:eastAsia="仿宋_GB2312" w:cs="Times New Roman"/>
          <w:color w:val="000000"/>
          <w:kern w:val="0"/>
          <w:sz w:val="32"/>
          <w:szCs w:val="32"/>
          <w:lang w:eastAsia="zh-CN"/>
        </w:rPr>
        <w:t>市城乡建设部门</w:t>
      </w:r>
      <w:r>
        <w:rPr>
          <w:rFonts w:hint="eastAsia" w:ascii="仿宋_GB2312" w:hAnsi="Times New Roman" w:eastAsia="仿宋_GB2312" w:cs="Times New Roman"/>
          <w:color w:val="000000"/>
          <w:kern w:val="0"/>
          <w:sz w:val="32"/>
          <w:szCs w:val="32"/>
        </w:rPr>
        <w:t>报告，由</w:t>
      </w:r>
      <w:r>
        <w:rPr>
          <w:rFonts w:hint="eastAsia" w:ascii="仿宋_GB2312" w:hAnsi="Times New Roman" w:eastAsia="仿宋_GB2312" w:cs="Times New Roman"/>
          <w:color w:val="000000"/>
          <w:kern w:val="0"/>
          <w:sz w:val="32"/>
          <w:szCs w:val="32"/>
          <w:lang w:eastAsia="zh-CN"/>
        </w:rPr>
        <w:t>市城乡建设部门</w:t>
      </w:r>
      <w:r>
        <w:rPr>
          <w:rFonts w:hint="eastAsia" w:ascii="仿宋_GB2312" w:hAnsi="Times New Roman" w:eastAsia="仿宋_GB2312" w:cs="Times New Roman"/>
          <w:color w:val="000000"/>
          <w:kern w:val="0"/>
          <w:sz w:val="32"/>
          <w:szCs w:val="32"/>
        </w:rPr>
        <w:t>告知市城管执法</w:t>
      </w:r>
      <w:r>
        <w:rPr>
          <w:rFonts w:hint="eastAsia" w:ascii="仿宋_GB2312" w:hAnsi="Times New Roman" w:eastAsia="仿宋_GB2312" w:cs="Times New Roman"/>
          <w:color w:val="000000"/>
          <w:kern w:val="0"/>
          <w:sz w:val="32"/>
          <w:szCs w:val="32"/>
          <w:lang w:eastAsia="zh-CN"/>
        </w:rPr>
        <w:t>部门</w:t>
      </w:r>
      <w:r>
        <w:rPr>
          <w:rFonts w:hint="eastAsia" w:ascii="仿宋_GB2312" w:hAnsi="Times New Roman" w:eastAsia="仿宋_GB2312" w:cs="Times New Roman"/>
          <w:color w:val="000000"/>
          <w:kern w:val="0"/>
          <w:sz w:val="32"/>
          <w:szCs w:val="32"/>
        </w:rPr>
        <w:t>依法予以查处</w:t>
      </w:r>
      <w:r>
        <w:rPr>
          <w:rFonts w:hint="eastAsia" w:ascii="仿宋_GB2312" w:hAnsi="Times New Roman" w:eastAsia="仿宋_GB2312" w:cs="Times New Roman"/>
          <w:color w:val="000000"/>
          <w:kern w:val="0"/>
          <w:sz w:val="32"/>
          <w:szCs w:val="32"/>
          <w:lang w:eastAsia="zh-CN"/>
        </w:rPr>
        <w:t>。</w:t>
      </w:r>
    </w:p>
    <w:p w14:paraId="1A0BFA96">
      <w:pPr>
        <w:widowControl/>
        <w:shd w:val="clear" w:color="auto" w:fill="FFFFFF"/>
        <w:spacing w:line="555" w:lineRule="atLeast"/>
        <w:ind w:firstLine="645"/>
        <w:jc w:val="left"/>
        <w:rPr>
          <w:rFonts w:hint="eastAsia" w:ascii="仿宋_GB2312" w:hAnsi="Times New Roman" w:eastAsia="仿宋_GB2312" w:cs="Times New Roman"/>
          <w:color w:val="000000"/>
          <w:kern w:val="0"/>
          <w:sz w:val="32"/>
          <w:szCs w:val="32"/>
        </w:rPr>
      </w:pPr>
      <w:r>
        <w:rPr>
          <w:rFonts w:hint="eastAsia" w:ascii="仿宋_GB2312" w:hAnsi="Times New Roman" w:eastAsia="仿宋_GB2312" w:cs="Times New Roman"/>
          <w:color w:val="000000"/>
          <w:kern w:val="0"/>
          <w:sz w:val="32"/>
          <w:szCs w:val="32"/>
        </w:rPr>
        <w:t>（</w:t>
      </w:r>
      <w:r>
        <w:rPr>
          <w:rFonts w:hint="eastAsia" w:ascii="仿宋_GB2312" w:hAnsi="Times New Roman" w:eastAsia="仿宋_GB2312" w:cs="Times New Roman"/>
          <w:color w:val="000000"/>
          <w:kern w:val="0"/>
          <w:sz w:val="32"/>
          <w:szCs w:val="32"/>
          <w:lang w:eastAsia="zh-CN"/>
        </w:rPr>
        <w:t>七</w:t>
      </w:r>
      <w:r>
        <w:rPr>
          <w:rFonts w:hint="eastAsia" w:ascii="仿宋_GB2312" w:hAnsi="Times New Roman" w:eastAsia="仿宋_GB2312" w:cs="Times New Roman"/>
          <w:color w:val="000000"/>
          <w:kern w:val="0"/>
          <w:sz w:val="32"/>
          <w:szCs w:val="32"/>
        </w:rPr>
        <w:t>）法律法规规定的其他职责。</w:t>
      </w:r>
    </w:p>
    <w:p w14:paraId="18ECB103">
      <w:pPr>
        <w:widowControl/>
        <w:shd w:val="clear" w:color="auto" w:fill="FFFFFF"/>
        <w:spacing w:line="555" w:lineRule="atLeast"/>
        <w:ind w:firstLine="645"/>
        <w:jc w:val="left"/>
        <w:rPr>
          <w:rFonts w:ascii="Arial" w:hAnsi="Arial" w:eastAsia="宋体" w:cs="Arial"/>
          <w:color w:val="000000"/>
          <w:kern w:val="0"/>
          <w:sz w:val="24"/>
          <w:szCs w:val="24"/>
        </w:rPr>
      </w:pPr>
      <w:r>
        <w:rPr>
          <w:rFonts w:hint="eastAsia" w:ascii="黑体" w:hAnsi="黑体" w:eastAsia="黑体" w:cs="Times New Roman"/>
          <w:color w:val="000000"/>
          <w:kern w:val="0"/>
          <w:sz w:val="32"/>
          <w:szCs w:val="32"/>
        </w:rPr>
        <w:t>第十</w:t>
      </w:r>
      <w:r>
        <w:rPr>
          <w:rFonts w:hint="eastAsia" w:ascii="黑体" w:hAnsi="黑体" w:eastAsia="黑体" w:cs="Times New Roman"/>
          <w:color w:val="000000"/>
          <w:kern w:val="0"/>
          <w:sz w:val="32"/>
          <w:szCs w:val="32"/>
          <w:lang w:eastAsia="zh-CN"/>
        </w:rPr>
        <w:t>六</w:t>
      </w:r>
      <w:r>
        <w:rPr>
          <w:rFonts w:hint="eastAsia" w:ascii="黑体" w:hAnsi="黑体" w:eastAsia="黑体" w:cs="Times New Roman"/>
          <w:color w:val="000000"/>
          <w:kern w:val="0"/>
          <w:sz w:val="32"/>
          <w:szCs w:val="32"/>
        </w:rPr>
        <w:t>条</w:t>
      </w:r>
      <w:r>
        <w:rPr>
          <w:rFonts w:ascii="Times New Roman" w:hAnsi="Times New Roman" w:eastAsia="宋体" w:cs="Times New Roman"/>
          <w:b/>
          <w:bCs/>
          <w:color w:val="000000"/>
          <w:kern w:val="0"/>
          <w:sz w:val="32"/>
          <w:szCs w:val="32"/>
        </w:rPr>
        <w:t> </w:t>
      </w:r>
      <w:r>
        <w:rPr>
          <w:rFonts w:hint="eastAsia" w:ascii="仿宋_GB2312" w:hAnsi="Times New Roman" w:eastAsia="仿宋_GB2312" w:cs="Times New Roman"/>
          <w:color w:val="000000"/>
          <w:kern w:val="0"/>
          <w:sz w:val="32"/>
          <w:szCs w:val="32"/>
        </w:rPr>
        <w:t>管线权属单位应履行如下职责：</w:t>
      </w:r>
    </w:p>
    <w:p w14:paraId="631CC5DB">
      <w:pPr>
        <w:widowControl/>
        <w:shd w:val="clear" w:color="auto" w:fill="FFFFFF"/>
        <w:spacing w:line="555" w:lineRule="atLeast"/>
        <w:ind w:firstLine="645"/>
        <w:jc w:val="left"/>
        <w:rPr>
          <w:rFonts w:hint="eastAsia" w:ascii="Arial" w:hAnsi="Arial" w:eastAsia="仿宋_GB2312" w:cs="Arial"/>
          <w:color w:val="000000"/>
          <w:kern w:val="0"/>
          <w:sz w:val="24"/>
          <w:szCs w:val="24"/>
          <w:lang w:eastAsia="zh-CN"/>
        </w:rPr>
      </w:pPr>
      <w:r>
        <w:rPr>
          <w:rFonts w:hint="eastAsia" w:ascii="仿宋_GB2312" w:hAnsi="Times New Roman" w:eastAsia="仿宋_GB2312" w:cs="Times New Roman"/>
          <w:color w:val="000000"/>
          <w:kern w:val="0"/>
          <w:sz w:val="32"/>
          <w:szCs w:val="32"/>
        </w:rPr>
        <w:t>（一）编制地下管线年度维护计划，报经管廊建设（运营）单位统筹协调后，在指定期限、区域内安排管线维护工作，并接受管廊建设（运营）单位的监督检查</w:t>
      </w:r>
      <w:r>
        <w:rPr>
          <w:rFonts w:hint="eastAsia" w:ascii="仿宋_GB2312" w:hAnsi="Times New Roman" w:eastAsia="仿宋_GB2312" w:cs="Times New Roman"/>
          <w:color w:val="000000"/>
          <w:kern w:val="0"/>
          <w:sz w:val="32"/>
          <w:szCs w:val="32"/>
          <w:lang w:eastAsia="zh-CN"/>
        </w:rPr>
        <w:t>。</w:t>
      </w:r>
    </w:p>
    <w:p w14:paraId="50EBAEDF">
      <w:pPr>
        <w:widowControl/>
        <w:shd w:val="clear" w:color="auto" w:fill="FFFFFF"/>
        <w:spacing w:line="555" w:lineRule="atLeast"/>
        <w:ind w:firstLine="645"/>
        <w:jc w:val="left"/>
        <w:rPr>
          <w:rFonts w:hint="eastAsia" w:ascii="Arial" w:hAnsi="Arial" w:eastAsia="仿宋_GB2312" w:cs="Arial"/>
          <w:color w:val="000000"/>
          <w:kern w:val="0"/>
          <w:sz w:val="24"/>
          <w:szCs w:val="24"/>
          <w:lang w:eastAsia="zh-CN"/>
        </w:rPr>
      </w:pPr>
      <w:r>
        <w:rPr>
          <w:rFonts w:hint="eastAsia" w:ascii="仿宋_GB2312" w:hAnsi="Times New Roman" w:eastAsia="仿宋_GB2312" w:cs="Times New Roman"/>
          <w:color w:val="000000"/>
          <w:kern w:val="0"/>
          <w:sz w:val="32"/>
          <w:szCs w:val="32"/>
        </w:rPr>
        <w:t>（二）建立巡护制度，开展日常管理和维护工作，做好巡查和维护记录，配合管廊建设（运营）单位做好安全运行工作</w:t>
      </w:r>
      <w:r>
        <w:rPr>
          <w:rFonts w:hint="eastAsia" w:ascii="仿宋_GB2312" w:hAnsi="Times New Roman" w:eastAsia="仿宋_GB2312" w:cs="Times New Roman"/>
          <w:color w:val="000000"/>
          <w:kern w:val="0"/>
          <w:sz w:val="32"/>
          <w:szCs w:val="32"/>
          <w:lang w:eastAsia="zh-CN"/>
        </w:rPr>
        <w:t>。</w:t>
      </w:r>
    </w:p>
    <w:p w14:paraId="172D10DA">
      <w:pPr>
        <w:widowControl/>
        <w:shd w:val="clear" w:color="auto" w:fill="FFFFFF"/>
        <w:spacing w:line="555" w:lineRule="atLeast"/>
        <w:ind w:firstLine="645"/>
        <w:jc w:val="left"/>
        <w:rPr>
          <w:rFonts w:hint="eastAsia" w:ascii="Arial" w:hAnsi="Arial" w:eastAsia="仿宋_GB2312" w:cs="Arial"/>
          <w:color w:val="000000"/>
          <w:kern w:val="0"/>
          <w:sz w:val="24"/>
          <w:szCs w:val="24"/>
          <w:lang w:eastAsia="zh-CN"/>
        </w:rPr>
      </w:pPr>
      <w:r>
        <w:rPr>
          <w:rFonts w:hint="eastAsia" w:ascii="仿宋_GB2312" w:hAnsi="Times New Roman" w:eastAsia="仿宋_GB2312" w:cs="Times New Roman"/>
          <w:color w:val="000000"/>
          <w:kern w:val="0"/>
          <w:sz w:val="32"/>
          <w:szCs w:val="32"/>
        </w:rPr>
        <w:t>（三）按照有关规定设置安全防范措施，定期进行安全和运行状态评估，严格执行安全管理制度和安全技术规程</w:t>
      </w:r>
      <w:r>
        <w:rPr>
          <w:rFonts w:hint="eastAsia" w:ascii="仿宋_GB2312" w:hAnsi="Times New Roman" w:eastAsia="仿宋_GB2312" w:cs="Times New Roman"/>
          <w:color w:val="000000"/>
          <w:kern w:val="0"/>
          <w:sz w:val="32"/>
          <w:szCs w:val="32"/>
          <w:lang w:eastAsia="zh-CN"/>
        </w:rPr>
        <w:t>。</w:t>
      </w:r>
    </w:p>
    <w:p w14:paraId="539AC5A8">
      <w:pPr>
        <w:widowControl/>
        <w:shd w:val="clear" w:color="auto" w:fill="FFFFFF"/>
        <w:spacing w:line="555" w:lineRule="atLeast"/>
        <w:ind w:firstLine="645"/>
        <w:jc w:val="left"/>
        <w:rPr>
          <w:rFonts w:hint="eastAsia" w:ascii="Arial" w:hAnsi="Arial" w:eastAsia="仿宋_GB2312" w:cs="Arial"/>
          <w:color w:val="000000"/>
          <w:kern w:val="0"/>
          <w:sz w:val="24"/>
          <w:szCs w:val="24"/>
          <w:lang w:eastAsia="zh-CN"/>
        </w:rPr>
      </w:pPr>
      <w:r>
        <w:rPr>
          <w:rFonts w:hint="eastAsia" w:ascii="仿宋_GB2312" w:hAnsi="Times New Roman" w:eastAsia="仿宋_GB2312" w:cs="Times New Roman"/>
          <w:color w:val="000000"/>
          <w:kern w:val="0"/>
          <w:sz w:val="32"/>
          <w:szCs w:val="32"/>
        </w:rPr>
        <w:t>（</w:t>
      </w:r>
      <w:r>
        <w:rPr>
          <w:rFonts w:hint="eastAsia" w:ascii="仿宋_GB2312" w:hAnsi="Times New Roman" w:eastAsia="仿宋_GB2312" w:cs="Times New Roman"/>
          <w:color w:val="000000"/>
          <w:kern w:val="0"/>
          <w:sz w:val="32"/>
          <w:szCs w:val="32"/>
          <w:lang w:eastAsia="zh-CN"/>
        </w:rPr>
        <w:t>四</w:t>
      </w:r>
      <w:r>
        <w:rPr>
          <w:rFonts w:hint="eastAsia" w:ascii="仿宋_GB2312" w:hAnsi="Times New Roman" w:eastAsia="仿宋_GB2312" w:cs="Times New Roman"/>
          <w:color w:val="000000"/>
          <w:kern w:val="0"/>
          <w:sz w:val="32"/>
          <w:szCs w:val="32"/>
        </w:rPr>
        <w:t>）编制隐患治理和应急处置预案，并抄送管廊建设（运营）单位</w:t>
      </w:r>
      <w:r>
        <w:rPr>
          <w:rFonts w:hint="eastAsia" w:ascii="仿宋_GB2312" w:hAnsi="Times New Roman" w:eastAsia="仿宋_GB2312" w:cs="Times New Roman"/>
          <w:color w:val="000000"/>
          <w:kern w:val="0"/>
          <w:sz w:val="32"/>
          <w:szCs w:val="32"/>
          <w:lang w:eastAsia="zh-CN"/>
        </w:rPr>
        <w:t>。</w:t>
      </w:r>
      <w:r>
        <w:rPr>
          <w:rFonts w:hint="eastAsia" w:ascii="仿宋_GB2312" w:hAnsi="Times New Roman" w:eastAsia="仿宋_GB2312" w:cs="Times New Roman"/>
          <w:color w:val="000000"/>
          <w:kern w:val="0"/>
          <w:sz w:val="32"/>
          <w:szCs w:val="32"/>
        </w:rPr>
        <w:t>发生管线事故后，按照预案组织开展抢险、抢修</w:t>
      </w:r>
      <w:r>
        <w:rPr>
          <w:rFonts w:hint="eastAsia" w:ascii="仿宋_GB2312" w:hAnsi="Times New Roman" w:eastAsia="仿宋_GB2312" w:cs="Times New Roman"/>
          <w:color w:val="000000"/>
          <w:kern w:val="0"/>
          <w:sz w:val="32"/>
          <w:szCs w:val="32"/>
          <w:lang w:eastAsia="zh-CN"/>
        </w:rPr>
        <w:t>并承担相关费用。</w:t>
      </w:r>
    </w:p>
    <w:p w14:paraId="621FCA7D">
      <w:pPr>
        <w:widowControl/>
        <w:shd w:val="clear" w:color="auto" w:fill="FFFFFF"/>
        <w:spacing w:line="555" w:lineRule="atLeast"/>
        <w:ind w:firstLine="645"/>
        <w:jc w:val="left"/>
        <w:rPr>
          <w:rFonts w:hint="eastAsia" w:ascii="Arial" w:hAnsi="Arial" w:eastAsia="仿宋_GB2312" w:cs="Arial"/>
          <w:color w:val="000000"/>
          <w:kern w:val="0"/>
          <w:sz w:val="24"/>
          <w:szCs w:val="24"/>
          <w:lang w:eastAsia="zh-CN"/>
        </w:rPr>
      </w:pPr>
      <w:r>
        <w:rPr>
          <w:rFonts w:hint="eastAsia" w:ascii="仿宋_GB2312" w:hAnsi="Times New Roman" w:eastAsia="仿宋_GB2312" w:cs="Times New Roman"/>
          <w:color w:val="000000"/>
          <w:kern w:val="0"/>
          <w:sz w:val="32"/>
          <w:szCs w:val="32"/>
        </w:rPr>
        <w:t>（</w:t>
      </w:r>
      <w:r>
        <w:rPr>
          <w:rFonts w:hint="eastAsia" w:ascii="仿宋_GB2312" w:hAnsi="Times New Roman" w:eastAsia="仿宋_GB2312" w:cs="Times New Roman"/>
          <w:color w:val="000000"/>
          <w:kern w:val="0"/>
          <w:sz w:val="32"/>
          <w:szCs w:val="32"/>
          <w:lang w:eastAsia="zh-CN"/>
        </w:rPr>
        <w:t>五</w:t>
      </w:r>
      <w:r>
        <w:rPr>
          <w:rFonts w:hint="eastAsia" w:ascii="仿宋_GB2312" w:hAnsi="Times New Roman" w:eastAsia="仿宋_GB2312" w:cs="Times New Roman"/>
          <w:color w:val="000000"/>
          <w:kern w:val="0"/>
          <w:sz w:val="32"/>
          <w:szCs w:val="32"/>
        </w:rPr>
        <w:t>）实施明火作业要符合消防要求，并取得管廊建设（运营）单位的同意，按照制定的施工方案严格执行</w:t>
      </w:r>
      <w:r>
        <w:rPr>
          <w:rFonts w:hint="eastAsia" w:ascii="仿宋_GB2312" w:hAnsi="Times New Roman" w:eastAsia="仿宋_GB2312" w:cs="Times New Roman"/>
          <w:color w:val="000000"/>
          <w:kern w:val="0"/>
          <w:sz w:val="32"/>
          <w:szCs w:val="32"/>
          <w:lang w:eastAsia="zh-CN"/>
        </w:rPr>
        <w:t>。</w:t>
      </w:r>
    </w:p>
    <w:p w14:paraId="0F329023">
      <w:pPr>
        <w:widowControl/>
        <w:shd w:val="clear" w:color="auto" w:fill="FFFFFF"/>
        <w:spacing w:line="555" w:lineRule="atLeast"/>
        <w:ind w:firstLine="645"/>
        <w:jc w:val="left"/>
        <w:rPr>
          <w:rFonts w:hint="eastAsia" w:ascii="仿宋_GB2312" w:hAnsi="Times New Roman" w:eastAsia="仿宋_GB2312" w:cs="Times New Roman"/>
          <w:color w:val="000000"/>
          <w:kern w:val="0"/>
          <w:sz w:val="32"/>
          <w:szCs w:val="32"/>
        </w:rPr>
      </w:pPr>
      <w:r>
        <w:rPr>
          <w:rFonts w:hint="eastAsia" w:ascii="仿宋_GB2312" w:hAnsi="Times New Roman" w:eastAsia="仿宋_GB2312" w:cs="Times New Roman"/>
          <w:color w:val="000000"/>
          <w:kern w:val="0"/>
          <w:sz w:val="32"/>
          <w:szCs w:val="32"/>
        </w:rPr>
        <w:t>（</w:t>
      </w:r>
      <w:r>
        <w:rPr>
          <w:rFonts w:hint="eastAsia" w:ascii="仿宋_GB2312" w:hAnsi="Times New Roman" w:eastAsia="仿宋_GB2312" w:cs="Times New Roman"/>
          <w:color w:val="000000"/>
          <w:kern w:val="0"/>
          <w:sz w:val="32"/>
          <w:szCs w:val="32"/>
          <w:lang w:eastAsia="zh-CN"/>
        </w:rPr>
        <w:t>六</w:t>
      </w:r>
      <w:r>
        <w:rPr>
          <w:rFonts w:hint="eastAsia" w:ascii="仿宋_GB2312" w:hAnsi="Times New Roman" w:eastAsia="仿宋_GB2312" w:cs="Times New Roman"/>
          <w:color w:val="000000"/>
          <w:kern w:val="0"/>
          <w:sz w:val="32"/>
          <w:szCs w:val="32"/>
        </w:rPr>
        <w:t>）法律法规规定的其他职责。</w:t>
      </w:r>
    </w:p>
    <w:p w14:paraId="2A093844">
      <w:pPr>
        <w:widowControl/>
        <w:shd w:val="clear" w:color="auto" w:fill="FFFFFF"/>
        <w:spacing w:line="555" w:lineRule="atLeast"/>
        <w:ind w:firstLine="645"/>
        <w:jc w:val="left"/>
        <w:rPr>
          <w:rFonts w:hint="eastAsia" w:ascii="仿宋_GB2312" w:hAnsi="Times New Roman" w:eastAsia="仿宋_GB2312" w:cs="Times New Roman"/>
          <w:color w:val="000000"/>
          <w:kern w:val="0"/>
          <w:sz w:val="32"/>
          <w:szCs w:val="32"/>
        </w:rPr>
      </w:pPr>
      <w:r>
        <w:rPr>
          <w:rFonts w:hint="eastAsia" w:ascii="黑体" w:hAnsi="黑体" w:eastAsia="黑体" w:cs="Times New Roman"/>
          <w:color w:val="000000"/>
          <w:kern w:val="0"/>
          <w:sz w:val="32"/>
          <w:szCs w:val="32"/>
        </w:rPr>
        <w:t>第十</w:t>
      </w:r>
      <w:r>
        <w:rPr>
          <w:rFonts w:hint="eastAsia" w:ascii="黑体" w:hAnsi="黑体" w:eastAsia="黑体" w:cs="Times New Roman"/>
          <w:color w:val="000000"/>
          <w:kern w:val="0"/>
          <w:sz w:val="32"/>
          <w:szCs w:val="32"/>
          <w:lang w:eastAsia="zh-CN"/>
        </w:rPr>
        <w:t>七</w:t>
      </w:r>
      <w:r>
        <w:rPr>
          <w:rFonts w:hint="eastAsia" w:ascii="黑体" w:hAnsi="黑体" w:eastAsia="黑体" w:cs="Times New Roman"/>
          <w:color w:val="000000"/>
          <w:kern w:val="0"/>
          <w:sz w:val="32"/>
          <w:szCs w:val="32"/>
        </w:rPr>
        <w:t xml:space="preserve">条 </w:t>
      </w:r>
      <w:r>
        <w:rPr>
          <w:rFonts w:hint="eastAsia" w:asciiTheme="minorEastAsia" w:hAnsiTheme="minorEastAsia" w:eastAsiaTheme="minorEastAsia"/>
          <w:sz w:val="28"/>
          <w:szCs w:val="28"/>
        </w:rPr>
        <w:t xml:space="preserve"> </w:t>
      </w:r>
      <w:r>
        <w:rPr>
          <w:rFonts w:hint="eastAsia" w:ascii="仿宋_GB2312" w:hAnsi="Times New Roman" w:eastAsia="仿宋_GB2312" w:cs="Times New Roman"/>
          <w:color w:val="000000"/>
          <w:kern w:val="0"/>
          <w:sz w:val="32"/>
          <w:szCs w:val="32"/>
        </w:rPr>
        <w:t>任何单位和个人未经允许不得擅自进入管廊及其附属设施。相关维护人员或依法执行公务者因紧急事故进入或使用的除外。</w:t>
      </w:r>
    </w:p>
    <w:p w14:paraId="45AF3FD1">
      <w:pPr>
        <w:widowControl/>
        <w:shd w:val="clear" w:color="auto" w:fill="FFFFFF"/>
        <w:spacing w:line="555" w:lineRule="atLeast"/>
        <w:ind w:firstLine="645"/>
        <w:jc w:val="left"/>
        <w:rPr>
          <w:rFonts w:hint="eastAsia" w:ascii="仿宋_GB2312" w:hAnsi="Times New Roman" w:eastAsia="仿宋_GB2312" w:cs="Times New Roman"/>
          <w:color w:val="000000"/>
          <w:kern w:val="0"/>
          <w:sz w:val="32"/>
          <w:szCs w:val="32"/>
        </w:rPr>
      </w:pPr>
      <w:r>
        <w:rPr>
          <w:rFonts w:hint="eastAsia" w:ascii="仿宋_GB2312" w:hAnsi="Times New Roman" w:eastAsia="仿宋_GB2312" w:cs="Times New Roman"/>
          <w:color w:val="000000"/>
          <w:kern w:val="0"/>
          <w:sz w:val="32"/>
          <w:szCs w:val="32"/>
        </w:rPr>
        <w:t>(一)进入管廊从事养护作业、管线敷设、勘察监测的，在进入管廊作业前与运维单位签订施工安全保护责任协议书，服从现场安全监督和管理。</w:t>
      </w:r>
    </w:p>
    <w:p w14:paraId="59D59531">
      <w:pPr>
        <w:widowControl/>
        <w:shd w:val="clear" w:color="auto" w:fill="FFFFFF"/>
        <w:spacing w:line="555" w:lineRule="atLeast"/>
        <w:ind w:firstLine="645"/>
        <w:jc w:val="left"/>
        <w:rPr>
          <w:rFonts w:hint="eastAsia" w:ascii="仿宋_GB2312" w:hAnsi="Times New Roman" w:eastAsia="仿宋_GB2312" w:cs="Times New Roman"/>
          <w:color w:val="000000"/>
          <w:kern w:val="0"/>
          <w:sz w:val="32"/>
          <w:szCs w:val="32"/>
        </w:rPr>
      </w:pPr>
      <w:r>
        <w:rPr>
          <w:rFonts w:hint="eastAsia" w:ascii="仿宋_GB2312" w:hAnsi="Times New Roman" w:eastAsia="仿宋_GB2312" w:cs="Times New Roman"/>
          <w:color w:val="000000"/>
          <w:kern w:val="0"/>
          <w:sz w:val="32"/>
          <w:szCs w:val="32"/>
        </w:rPr>
        <w:t>(二)参观考察等活动的单位和个人，应向管理单位提供考察公函、联系人及联系方式，经批准后在现场办理登记手续后方可进入管廊。</w:t>
      </w:r>
    </w:p>
    <w:p w14:paraId="5C8310DA">
      <w:pPr>
        <w:spacing w:line="360" w:lineRule="auto"/>
        <w:ind w:firstLine="640" w:firstLineChars="200"/>
        <w:rPr>
          <w:rFonts w:hint="eastAsia" w:ascii="仿宋_GB2312" w:hAnsi="Times New Roman" w:eastAsia="仿宋_GB2312" w:cs="Times New Roman"/>
          <w:color w:val="000000"/>
          <w:kern w:val="0"/>
          <w:sz w:val="32"/>
          <w:szCs w:val="32"/>
        </w:rPr>
      </w:pPr>
      <w:r>
        <w:rPr>
          <w:rFonts w:hint="eastAsia" w:ascii="黑体" w:hAnsi="黑体" w:eastAsia="黑体" w:cs="Times New Roman"/>
          <w:color w:val="000000"/>
          <w:kern w:val="0"/>
          <w:sz w:val="32"/>
          <w:szCs w:val="32"/>
        </w:rPr>
        <w:t>第</w:t>
      </w:r>
      <w:r>
        <w:rPr>
          <w:rFonts w:hint="eastAsia" w:ascii="黑体" w:hAnsi="黑体" w:eastAsia="黑体" w:cs="Times New Roman"/>
          <w:color w:val="000000"/>
          <w:kern w:val="0"/>
          <w:sz w:val="32"/>
          <w:szCs w:val="32"/>
          <w:lang w:eastAsia="zh-CN"/>
        </w:rPr>
        <w:t>十八</w:t>
      </w:r>
      <w:r>
        <w:rPr>
          <w:rFonts w:hint="eastAsia" w:ascii="黑体" w:hAnsi="黑体" w:eastAsia="黑体" w:cs="Times New Roman"/>
          <w:color w:val="000000"/>
          <w:kern w:val="0"/>
          <w:sz w:val="32"/>
          <w:szCs w:val="32"/>
        </w:rPr>
        <w:t xml:space="preserve">条  </w:t>
      </w:r>
      <w:r>
        <w:rPr>
          <w:rFonts w:hint="eastAsia" w:ascii="仿宋_GB2312" w:hAnsi="Times New Roman" w:eastAsia="仿宋_GB2312" w:cs="Times New Roman"/>
          <w:color w:val="000000"/>
          <w:kern w:val="0"/>
          <w:sz w:val="32"/>
          <w:szCs w:val="32"/>
        </w:rPr>
        <w:t>在管廊内进行管线重设、扩建、线路更改等变更时应当与相邻的管线单位协商，并符合技术标准的要求。管线变更开工前，管线单位应当将施工方案报</w:t>
      </w:r>
      <w:r>
        <w:rPr>
          <w:rFonts w:hint="eastAsia" w:ascii="仿宋_GB2312" w:hAnsi="Times New Roman" w:eastAsia="仿宋_GB2312" w:cs="Times New Roman"/>
          <w:color w:val="000000"/>
          <w:kern w:val="0"/>
          <w:sz w:val="32"/>
          <w:szCs w:val="32"/>
          <w:lang w:eastAsia="zh-CN"/>
        </w:rPr>
        <w:t>管廊建设（运营）单位</w:t>
      </w:r>
      <w:r>
        <w:rPr>
          <w:rFonts w:hint="eastAsia" w:ascii="仿宋_GB2312" w:hAnsi="Times New Roman" w:eastAsia="仿宋_GB2312" w:cs="Times New Roman"/>
          <w:color w:val="000000"/>
          <w:kern w:val="0"/>
          <w:sz w:val="32"/>
          <w:szCs w:val="32"/>
        </w:rPr>
        <w:t>备案。</w:t>
      </w:r>
    </w:p>
    <w:p w14:paraId="74B0DA5E">
      <w:pPr>
        <w:widowControl/>
        <w:shd w:val="clear" w:color="auto" w:fill="FFFFFF"/>
        <w:spacing w:line="555" w:lineRule="atLeast"/>
        <w:ind w:firstLine="480"/>
        <w:jc w:val="center"/>
        <w:rPr>
          <w:rFonts w:hint="eastAsia" w:ascii="Times New Roman" w:hAnsi="Times New Roman" w:eastAsia="宋体" w:cs="Times New Roman"/>
          <w:b/>
          <w:bCs/>
          <w:color w:val="000000"/>
          <w:kern w:val="0"/>
          <w:sz w:val="32"/>
          <w:szCs w:val="32"/>
          <w:lang w:eastAsia="zh-CN"/>
        </w:rPr>
      </w:pPr>
      <w:r>
        <w:rPr>
          <w:rFonts w:hint="eastAsia" w:ascii="Times New Roman" w:hAnsi="Times New Roman" w:eastAsia="宋体" w:cs="Times New Roman"/>
          <w:b/>
          <w:bCs/>
          <w:color w:val="000000"/>
          <w:kern w:val="0"/>
          <w:sz w:val="32"/>
          <w:szCs w:val="32"/>
          <w:lang w:eastAsia="zh-CN"/>
        </w:rPr>
        <w:t>第四章安全保护管理</w:t>
      </w:r>
    </w:p>
    <w:p w14:paraId="7FEAA644">
      <w:pPr>
        <w:widowControl/>
        <w:shd w:val="clear" w:color="auto" w:fill="FFFFFF"/>
        <w:spacing w:line="555" w:lineRule="atLeast"/>
        <w:ind w:firstLine="645"/>
        <w:jc w:val="left"/>
        <w:rPr>
          <w:rFonts w:hint="eastAsia" w:ascii="仿宋_GB2312" w:hAnsi="Times New Roman" w:eastAsia="仿宋_GB2312" w:cs="Times New Roman"/>
          <w:color w:val="000000"/>
          <w:kern w:val="0"/>
          <w:sz w:val="32"/>
          <w:szCs w:val="32"/>
        </w:rPr>
      </w:pPr>
      <w:r>
        <w:rPr>
          <w:rFonts w:hint="eastAsia" w:ascii="黑体" w:hAnsi="黑体" w:eastAsia="黑体" w:cs="Times New Roman"/>
          <w:color w:val="000000"/>
          <w:kern w:val="0"/>
          <w:sz w:val="32"/>
          <w:szCs w:val="32"/>
        </w:rPr>
        <w:t>第</w:t>
      </w:r>
      <w:r>
        <w:rPr>
          <w:rFonts w:hint="eastAsia" w:ascii="黑体" w:hAnsi="黑体" w:eastAsia="黑体" w:cs="Times New Roman"/>
          <w:color w:val="000000"/>
          <w:kern w:val="0"/>
          <w:sz w:val="32"/>
          <w:szCs w:val="32"/>
          <w:lang w:eastAsia="zh-CN"/>
        </w:rPr>
        <w:t>十九</w:t>
      </w:r>
      <w:r>
        <w:rPr>
          <w:rFonts w:hint="eastAsia" w:ascii="黑体" w:hAnsi="黑体" w:eastAsia="黑体" w:cs="Times New Roman"/>
          <w:color w:val="000000"/>
          <w:kern w:val="0"/>
          <w:sz w:val="32"/>
          <w:szCs w:val="32"/>
        </w:rPr>
        <w:t xml:space="preserve">条  </w:t>
      </w:r>
      <w:r>
        <w:rPr>
          <w:rFonts w:hint="eastAsia" w:ascii="仿宋_GB2312" w:hAnsi="Times New Roman" w:eastAsia="仿宋_GB2312" w:cs="Times New Roman"/>
          <w:color w:val="000000"/>
          <w:kern w:val="0"/>
          <w:sz w:val="32"/>
          <w:szCs w:val="32"/>
        </w:rPr>
        <w:t>管廊安全保护区内，禁止从事下列活动：</w:t>
      </w:r>
    </w:p>
    <w:p w14:paraId="611F3F36">
      <w:pPr>
        <w:widowControl/>
        <w:shd w:val="clear" w:color="auto" w:fill="FFFFFF"/>
        <w:spacing w:line="555" w:lineRule="atLeast"/>
        <w:ind w:firstLine="645"/>
        <w:jc w:val="left"/>
        <w:rPr>
          <w:rFonts w:hint="eastAsia" w:ascii="仿宋_GB2312" w:hAnsi="Times New Roman" w:eastAsia="仿宋_GB2312" w:cs="Times New Roman"/>
          <w:color w:val="000000"/>
          <w:kern w:val="0"/>
          <w:sz w:val="32"/>
          <w:szCs w:val="32"/>
        </w:rPr>
      </w:pPr>
      <w:r>
        <w:rPr>
          <w:rFonts w:hint="eastAsia" w:ascii="仿宋_GB2312" w:hAnsi="Times New Roman" w:eastAsia="仿宋_GB2312" w:cs="Times New Roman"/>
          <w:color w:val="000000"/>
          <w:kern w:val="0"/>
          <w:sz w:val="32"/>
          <w:szCs w:val="32"/>
        </w:rPr>
        <w:t>(一)排放、倾倒腐蚀性液体、气体。</w:t>
      </w:r>
    </w:p>
    <w:p w14:paraId="21AAB7E7">
      <w:pPr>
        <w:widowControl/>
        <w:shd w:val="clear" w:color="auto" w:fill="FFFFFF"/>
        <w:spacing w:line="555" w:lineRule="atLeast"/>
        <w:ind w:firstLine="645"/>
        <w:jc w:val="left"/>
        <w:rPr>
          <w:rFonts w:hint="eastAsia" w:ascii="仿宋_GB2312" w:hAnsi="Times New Roman" w:eastAsia="仿宋_GB2312" w:cs="Times New Roman"/>
          <w:color w:val="000000"/>
          <w:kern w:val="0"/>
          <w:sz w:val="32"/>
          <w:szCs w:val="32"/>
        </w:rPr>
      </w:pPr>
      <w:r>
        <w:rPr>
          <w:rFonts w:hint="eastAsia" w:ascii="仿宋_GB2312" w:hAnsi="Times New Roman" w:eastAsia="仿宋_GB2312" w:cs="Times New Roman"/>
          <w:color w:val="000000"/>
          <w:kern w:val="0"/>
          <w:sz w:val="32"/>
          <w:szCs w:val="32"/>
        </w:rPr>
        <w:t>(二)擅自挖掘城市道路。</w:t>
      </w:r>
    </w:p>
    <w:p w14:paraId="551E61F4">
      <w:pPr>
        <w:widowControl/>
        <w:shd w:val="clear" w:color="auto" w:fill="FFFFFF"/>
        <w:spacing w:line="555" w:lineRule="atLeast"/>
        <w:ind w:firstLine="645"/>
        <w:jc w:val="left"/>
        <w:rPr>
          <w:rFonts w:hint="eastAsia" w:ascii="仿宋_GB2312" w:hAnsi="Times New Roman" w:eastAsia="仿宋_GB2312" w:cs="Times New Roman"/>
          <w:color w:val="000000"/>
          <w:kern w:val="0"/>
          <w:sz w:val="32"/>
          <w:szCs w:val="32"/>
        </w:rPr>
      </w:pPr>
      <w:r>
        <w:rPr>
          <w:rFonts w:hint="eastAsia" w:ascii="仿宋_GB2312" w:hAnsi="Times New Roman" w:eastAsia="仿宋_GB2312" w:cs="Times New Roman"/>
          <w:color w:val="000000"/>
          <w:kern w:val="0"/>
          <w:sz w:val="32"/>
          <w:szCs w:val="32"/>
        </w:rPr>
        <w:t>(三)敷设地下管线。</w:t>
      </w:r>
    </w:p>
    <w:p w14:paraId="77327925">
      <w:pPr>
        <w:widowControl/>
        <w:shd w:val="clear" w:color="auto" w:fill="FFFFFF"/>
        <w:spacing w:line="555" w:lineRule="atLeast"/>
        <w:ind w:firstLine="645"/>
        <w:jc w:val="left"/>
        <w:rPr>
          <w:rFonts w:hint="eastAsia" w:ascii="仿宋_GB2312" w:hAnsi="Times New Roman" w:eastAsia="仿宋_GB2312" w:cs="Times New Roman"/>
          <w:color w:val="000000"/>
          <w:kern w:val="0"/>
          <w:sz w:val="32"/>
          <w:szCs w:val="32"/>
        </w:rPr>
      </w:pPr>
      <w:r>
        <w:rPr>
          <w:rFonts w:hint="eastAsia" w:ascii="仿宋_GB2312" w:hAnsi="Times New Roman" w:eastAsia="仿宋_GB2312" w:cs="Times New Roman"/>
          <w:color w:val="000000"/>
          <w:kern w:val="0"/>
          <w:sz w:val="32"/>
          <w:szCs w:val="32"/>
        </w:rPr>
        <w:t>(四)堆土或堆放建筑材料、垃圾等影响管廊正常运维的行为。</w:t>
      </w:r>
    </w:p>
    <w:p w14:paraId="1CAF1BEC">
      <w:pPr>
        <w:widowControl/>
        <w:shd w:val="clear" w:color="auto" w:fill="FFFFFF"/>
        <w:spacing w:line="555" w:lineRule="atLeast"/>
        <w:ind w:firstLine="645"/>
        <w:jc w:val="left"/>
        <w:rPr>
          <w:rFonts w:hint="eastAsia" w:ascii="仿宋_GB2312" w:hAnsi="Times New Roman" w:eastAsia="仿宋_GB2312" w:cs="Times New Roman"/>
          <w:color w:val="000000"/>
          <w:kern w:val="0"/>
          <w:sz w:val="32"/>
          <w:szCs w:val="32"/>
        </w:rPr>
      </w:pPr>
      <w:r>
        <w:rPr>
          <w:rFonts w:hint="eastAsia" w:ascii="仿宋_GB2312" w:hAnsi="Times New Roman" w:eastAsia="仿宋_GB2312" w:cs="Times New Roman"/>
          <w:color w:val="000000"/>
          <w:kern w:val="0"/>
          <w:sz w:val="32"/>
          <w:szCs w:val="32"/>
        </w:rPr>
        <w:t>(五)其他危害管廊安全的行为。</w:t>
      </w:r>
    </w:p>
    <w:p w14:paraId="6AF9E983">
      <w:pPr>
        <w:widowControl/>
        <w:shd w:val="clear" w:color="auto" w:fill="FFFFFF"/>
        <w:spacing w:line="555" w:lineRule="atLeast"/>
        <w:ind w:firstLine="645"/>
        <w:jc w:val="left"/>
        <w:rPr>
          <w:rFonts w:hint="eastAsia" w:ascii="仿宋_GB2312" w:hAnsi="Times New Roman" w:eastAsia="仿宋_GB2312" w:cs="Times New Roman"/>
          <w:color w:val="000000"/>
          <w:kern w:val="0"/>
          <w:sz w:val="32"/>
          <w:szCs w:val="32"/>
        </w:rPr>
      </w:pPr>
      <w:r>
        <w:rPr>
          <w:rFonts w:hint="eastAsia" w:ascii="黑体" w:hAnsi="黑体" w:eastAsia="黑体" w:cs="Times New Roman"/>
          <w:color w:val="000000"/>
          <w:kern w:val="0"/>
          <w:sz w:val="32"/>
          <w:szCs w:val="32"/>
        </w:rPr>
        <w:t>第</w:t>
      </w:r>
      <w:r>
        <w:rPr>
          <w:rFonts w:hint="eastAsia" w:ascii="黑体" w:hAnsi="黑体" w:eastAsia="黑体" w:cs="Times New Roman"/>
          <w:color w:val="000000"/>
          <w:kern w:val="0"/>
          <w:sz w:val="32"/>
          <w:szCs w:val="32"/>
          <w:lang w:eastAsia="zh-CN"/>
        </w:rPr>
        <w:t>二</w:t>
      </w:r>
      <w:r>
        <w:rPr>
          <w:rFonts w:hint="eastAsia" w:ascii="黑体" w:hAnsi="黑体" w:eastAsia="黑体" w:cs="Times New Roman"/>
          <w:color w:val="000000"/>
          <w:kern w:val="0"/>
          <w:sz w:val="32"/>
          <w:szCs w:val="32"/>
        </w:rPr>
        <w:t xml:space="preserve">十条  </w:t>
      </w:r>
      <w:r>
        <w:rPr>
          <w:rFonts w:hint="eastAsia" w:ascii="仿宋_GB2312" w:hAnsi="Times New Roman" w:eastAsia="仿宋_GB2312" w:cs="Times New Roman"/>
          <w:color w:val="000000"/>
          <w:kern w:val="0"/>
          <w:sz w:val="32"/>
          <w:szCs w:val="32"/>
        </w:rPr>
        <w:t>管廊安全控制区内，限制从事下列活动:</w:t>
      </w:r>
    </w:p>
    <w:p w14:paraId="66492FA7">
      <w:pPr>
        <w:widowControl/>
        <w:shd w:val="clear" w:color="auto" w:fill="FFFFFF"/>
        <w:spacing w:line="555" w:lineRule="atLeast"/>
        <w:ind w:firstLine="645"/>
        <w:jc w:val="left"/>
        <w:rPr>
          <w:rFonts w:hint="eastAsia" w:ascii="仿宋_GB2312" w:hAnsi="Times New Roman" w:eastAsia="仿宋_GB2312" w:cs="Times New Roman"/>
          <w:color w:val="000000"/>
          <w:kern w:val="0"/>
          <w:sz w:val="32"/>
          <w:szCs w:val="32"/>
        </w:rPr>
      </w:pPr>
      <w:r>
        <w:rPr>
          <w:rFonts w:hint="eastAsia" w:ascii="仿宋_GB2312" w:hAnsi="Times New Roman" w:eastAsia="仿宋_GB2312" w:cs="Times New Roman"/>
          <w:color w:val="000000"/>
          <w:kern w:val="0"/>
          <w:sz w:val="32"/>
          <w:szCs w:val="32"/>
        </w:rPr>
        <w:t>(一)深基坑开挖。</w:t>
      </w:r>
    </w:p>
    <w:p w14:paraId="7B9AE5C7">
      <w:pPr>
        <w:widowControl/>
        <w:shd w:val="clear" w:color="auto" w:fill="FFFFFF"/>
        <w:spacing w:line="555" w:lineRule="atLeast"/>
        <w:ind w:firstLine="645"/>
        <w:jc w:val="left"/>
        <w:rPr>
          <w:rFonts w:hint="eastAsia" w:ascii="仿宋_GB2312" w:hAnsi="Times New Roman" w:eastAsia="仿宋_GB2312" w:cs="Times New Roman"/>
          <w:color w:val="000000"/>
          <w:kern w:val="0"/>
          <w:sz w:val="32"/>
          <w:szCs w:val="32"/>
        </w:rPr>
      </w:pPr>
      <w:r>
        <w:rPr>
          <w:rFonts w:hint="eastAsia" w:ascii="仿宋_GB2312" w:hAnsi="Times New Roman" w:eastAsia="仿宋_GB2312" w:cs="Times New Roman"/>
          <w:color w:val="000000"/>
          <w:kern w:val="0"/>
          <w:sz w:val="32"/>
          <w:szCs w:val="32"/>
        </w:rPr>
        <w:t>(二)爆破、桩基施工。</w:t>
      </w:r>
    </w:p>
    <w:p w14:paraId="773AD8FF">
      <w:pPr>
        <w:widowControl/>
        <w:shd w:val="clear" w:color="auto" w:fill="FFFFFF"/>
        <w:spacing w:line="555" w:lineRule="atLeast"/>
        <w:ind w:firstLine="645"/>
        <w:jc w:val="left"/>
        <w:rPr>
          <w:rFonts w:hint="eastAsia" w:ascii="仿宋_GB2312" w:hAnsi="Times New Roman" w:eastAsia="仿宋_GB2312" w:cs="Times New Roman"/>
          <w:color w:val="000000"/>
          <w:kern w:val="0"/>
          <w:sz w:val="32"/>
          <w:szCs w:val="32"/>
        </w:rPr>
      </w:pPr>
      <w:r>
        <w:rPr>
          <w:rFonts w:hint="eastAsia" w:ascii="仿宋_GB2312" w:hAnsi="Times New Roman" w:eastAsia="仿宋_GB2312" w:cs="Times New Roman"/>
          <w:color w:val="000000"/>
          <w:kern w:val="0"/>
          <w:sz w:val="32"/>
          <w:szCs w:val="32"/>
        </w:rPr>
        <w:t>(三)地下挖掘、顶进及灌浆作业。</w:t>
      </w:r>
    </w:p>
    <w:p w14:paraId="4362AD28">
      <w:pPr>
        <w:widowControl/>
        <w:shd w:val="clear" w:color="auto" w:fill="FFFFFF"/>
        <w:spacing w:line="555" w:lineRule="atLeast"/>
        <w:ind w:firstLine="645"/>
        <w:jc w:val="left"/>
        <w:rPr>
          <w:rFonts w:hint="eastAsia" w:ascii="仿宋_GB2312" w:hAnsi="Times New Roman" w:eastAsia="仿宋_GB2312" w:cs="Times New Roman"/>
          <w:color w:val="000000"/>
          <w:kern w:val="0"/>
          <w:sz w:val="32"/>
          <w:szCs w:val="32"/>
        </w:rPr>
      </w:pPr>
      <w:r>
        <w:rPr>
          <w:rFonts w:hint="eastAsia" w:ascii="仿宋_GB2312" w:hAnsi="Times New Roman" w:eastAsia="仿宋_GB2312" w:cs="Times New Roman"/>
          <w:color w:val="000000"/>
          <w:kern w:val="0"/>
          <w:sz w:val="32"/>
          <w:szCs w:val="32"/>
        </w:rPr>
        <w:t>(四)其他可能影响管廊安全运行的行为。</w:t>
      </w:r>
    </w:p>
    <w:p w14:paraId="61C53AC8">
      <w:pPr>
        <w:widowControl/>
        <w:shd w:val="clear" w:color="auto" w:fill="FFFFFF"/>
        <w:spacing w:line="555" w:lineRule="atLeast"/>
        <w:ind w:firstLine="645"/>
        <w:jc w:val="left"/>
        <w:rPr>
          <w:rFonts w:hint="eastAsia" w:ascii="仿宋_GB2312" w:hAnsi="Times New Roman" w:eastAsia="仿宋_GB2312" w:cs="Times New Roman"/>
          <w:color w:val="000000"/>
          <w:kern w:val="0"/>
          <w:sz w:val="32"/>
          <w:szCs w:val="32"/>
        </w:rPr>
      </w:pPr>
      <w:r>
        <w:rPr>
          <w:rFonts w:hint="eastAsia" w:ascii="仿宋_GB2312" w:hAnsi="Times New Roman" w:eastAsia="仿宋_GB2312" w:cs="Times New Roman"/>
          <w:color w:val="000000"/>
          <w:kern w:val="0"/>
          <w:sz w:val="32"/>
          <w:szCs w:val="32"/>
        </w:rPr>
        <w:t>建设单位确需进行以上活动的，应当在施工前会同施工单位制定管廊保护方案，并将有关情况书面征询</w:t>
      </w:r>
      <w:r>
        <w:rPr>
          <w:rFonts w:hint="eastAsia" w:ascii="仿宋_GB2312" w:hAnsi="Times New Roman" w:eastAsia="仿宋_GB2312" w:cs="Times New Roman"/>
          <w:color w:val="000000"/>
          <w:kern w:val="0"/>
          <w:sz w:val="32"/>
          <w:szCs w:val="32"/>
          <w:lang w:eastAsia="zh-CN"/>
        </w:rPr>
        <w:t>管廊建设（运营）</w:t>
      </w:r>
      <w:r>
        <w:rPr>
          <w:rFonts w:hint="eastAsia" w:ascii="仿宋_GB2312" w:hAnsi="Times New Roman" w:eastAsia="仿宋_GB2312" w:cs="Times New Roman"/>
          <w:color w:val="000000"/>
          <w:kern w:val="0"/>
          <w:sz w:val="32"/>
          <w:szCs w:val="32"/>
        </w:rPr>
        <w:t>单位意见，相关手续办理齐全后方可进行施工作业。</w:t>
      </w:r>
    </w:p>
    <w:p w14:paraId="67BE270E">
      <w:pPr>
        <w:widowControl/>
        <w:shd w:val="clear" w:color="auto" w:fill="FFFFFF"/>
        <w:spacing w:line="555" w:lineRule="atLeast"/>
        <w:ind w:firstLine="645"/>
        <w:jc w:val="left"/>
        <w:rPr>
          <w:rFonts w:hint="eastAsia" w:ascii="仿宋_GB2312" w:hAnsi="Times New Roman" w:eastAsia="仿宋_GB2312" w:cs="Times New Roman"/>
          <w:color w:val="000000"/>
          <w:kern w:val="0"/>
          <w:sz w:val="32"/>
          <w:szCs w:val="32"/>
        </w:rPr>
      </w:pPr>
      <w:r>
        <w:rPr>
          <w:rFonts w:hint="eastAsia" w:ascii="黑体" w:hAnsi="黑体" w:eastAsia="黑体" w:cs="Times New Roman"/>
          <w:color w:val="000000"/>
          <w:kern w:val="0"/>
          <w:sz w:val="32"/>
          <w:szCs w:val="32"/>
        </w:rPr>
        <w:t>第</w:t>
      </w:r>
      <w:r>
        <w:rPr>
          <w:rFonts w:hint="eastAsia" w:ascii="黑体" w:hAnsi="黑体" w:eastAsia="黑体" w:cs="Times New Roman"/>
          <w:color w:val="000000"/>
          <w:kern w:val="0"/>
          <w:sz w:val="32"/>
          <w:szCs w:val="32"/>
          <w:lang w:eastAsia="zh-CN"/>
        </w:rPr>
        <w:t>二</w:t>
      </w:r>
      <w:r>
        <w:rPr>
          <w:rFonts w:hint="eastAsia" w:ascii="黑体" w:hAnsi="黑体" w:eastAsia="黑体" w:cs="Times New Roman"/>
          <w:color w:val="000000"/>
          <w:kern w:val="0"/>
          <w:sz w:val="32"/>
          <w:szCs w:val="32"/>
        </w:rPr>
        <w:t>十</w:t>
      </w:r>
      <w:r>
        <w:rPr>
          <w:rFonts w:hint="eastAsia" w:ascii="黑体" w:hAnsi="黑体" w:eastAsia="黑体" w:cs="Times New Roman"/>
          <w:color w:val="000000"/>
          <w:kern w:val="0"/>
          <w:sz w:val="32"/>
          <w:szCs w:val="32"/>
          <w:lang w:eastAsia="zh-CN"/>
        </w:rPr>
        <w:t>一</w:t>
      </w:r>
      <w:r>
        <w:rPr>
          <w:rFonts w:hint="eastAsia" w:ascii="黑体" w:hAnsi="黑体" w:eastAsia="黑体" w:cs="Times New Roman"/>
          <w:color w:val="000000"/>
          <w:kern w:val="0"/>
          <w:sz w:val="32"/>
          <w:szCs w:val="32"/>
        </w:rPr>
        <w:t xml:space="preserve">条  </w:t>
      </w:r>
      <w:r>
        <w:rPr>
          <w:rFonts w:hint="eastAsia" w:ascii="仿宋_GB2312" w:hAnsi="Times New Roman" w:eastAsia="仿宋_GB2312" w:cs="Times New Roman"/>
          <w:color w:val="000000"/>
          <w:kern w:val="0"/>
          <w:sz w:val="32"/>
          <w:szCs w:val="32"/>
        </w:rPr>
        <w:t>施工期间，建设单位应当严格落实保护措施，对施工影响范围内的区域进行动态化监控，并承担为保护、修复管廊所发生的安全监测、设施修补等相关费用。</w:t>
      </w:r>
    </w:p>
    <w:p w14:paraId="474C8E4A">
      <w:pPr>
        <w:widowControl/>
        <w:shd w:val="clear" w:color="auto" w:fill="FFFFFF"/>
        <w:spacing w:line="555" w:lineRule="atLeast"/>
        <w:ind w:firstLine="480"/>
        <w:jc w:val="center"/>
        <w:rPr>
          <w:rFonts w:hint="eastAsia" w:ascii="Times New Roman" w:hAnsi="Times New Roman" w:eastAsia="宋体" w:cs="Times New Roman"/>
          <w:b/>
          <w:bCs/>
          <w:color w:val="000000"/>
          <w:kern w:val="0"/>
          <w:sz w:val="32"/>
          <w:szCs w:val="32"/>
          <w:lang w:eastAsia="zh-CN"/>
        </w:rPr>
      </w:pPr>
      <w:r>
        <w:rPr>
          <w:rFonts w:hint="eastAsia" w:ascii="Times New Roman" w:hAnsi="Times New Roman" w:eastAsia="宋体" w:cs="Times New Roman"/>
          <w:b/>
          <w:bCs/>
          <w:color w:val="000000"/>
          <w:kern w:val="0"/>
          <w:sz w:val="32"/>
          <w:szCs w:val="32"/>
          <w:lang w:eastAsia="zh-CN"/>
        </w:rPr>
        <w:t>第五章法律责任</w:t>
      </w:r>
    </w:p>
    <w:p w14:paraId="065DEF24">
      <w:pPr>
        <w:widowControl/>
        <w:shd w:val="clear" w:color="auto" w:fill="FFFFFF"/>
        <w:spacing w:line="555" w:lineRule="atLeast"/>
        <w:ind w:firstLine="645"/>
        <w:jc w:val="left"/>
        <w:rPr>
          <w:rFonts w:hint="eastAsia" w:ascii="仿宋_GB2312" w:hAnsi="Times New Roman" w:eastAsia="仿宋_GB2312" w:cs="Times New Roman"/>
          <w:color w:val="000000"/>
          <w:kern w:val="0"/>
          <w:sz w:val="32"/>
          <w:szCs w:val="32"/>
        </w:rPr>
      </w:pPr>
      <w:r>
        <w:rPr>
          <w:rFonts w:hint="eastAsia" w:ascii="黑体" w:hAnsi="黑体" w:eastAsia="黑体" w:cs="Times New Roman"/>
          <w:color w:val="000000"/>
          <w:kern w:val="0"/>
          <w:sz w:val="32"/>
          <w:szCs w:val="32"/>
        </w:rPr>
        <w:t>第</w:t>
      </w:r>
      <w:r>
        <w:rPr>
          <w:rFonts w:hint="eastAsia" w:ascii="黑体" w:hAnsi="黑体" w:eastAsia="黑体" w:cs="Times New Roman"/>
          <w:color w:val="000000"/>
          <w:kern w:val="0"/>
          <w:sz w:val="32"/>
          <w:szCs w:val="32"/>
          <w:lang w:eastAsia="zh-CN"/>
        </w:rPr>
        <w:t>二十二</w:t>
      </w:r>
      <w:r>
        <w:rPr>
          <w:rFonts w:hint="eastAsia" w:ascii="黑体" w:hAnsi="黑体" w:eastAsia="黑体" w:cs="Times New Roman"/>
          <w:color w:val="000000"/>
          <w:kern w:val="0"/>
          <w:sz w:val="32"/>
          <w:szCs w:val="32"/>
        </w:rPr>
        <w:t xml:space="preserve">条  </w:t>
      </w:r>
      <w:r>
        <w:rPr>
          <w:rFonts w:hint="eastAsia" w:ascii="仿宋_GB2312" w:hAnsi="Times New Roman" w:eastAsia="仿宋_GB2312" w:cs="Times New Roman"/>
          <w:color w:val="000000"/>
          <w:kern w:val="0"/>
          <w:sz w:val="32"/>
          <w:szCs w:val="32"/>
        </w:rPr>
        <w:t>任何单位和个人发现有危害管廊运行安全的违法、违规行为，有权予以劝阻、制止，并通知</w:t>
      </w:r>
      <w:r>
        <w:rPr>
          <w:rFonts w:hint="eastAsia" w:ascii="仿宋_GB2312" w:hAnsi="Times New Roman" w:eastAsia="仿宋_GB2312" w:cs="Times New Roman"/>
          <w:color w:val="000000"/>
          <w:kern w:val="0"/>
          <w:sz w:val="32"/>
          <w:szCs w:val="32"/>
          <w:lang w:eastAsia="zh-CN"/>
        </w:rPr>
        <w:t>管廊建设（运营）</w:t>
      </w:r>
      <w:r>
        <w:rPr>
          <w:rFonts w:hint="eastAsia" w:ascii="仿宋_GB2312" w:hAnsi="Times New Roman" w:eastAsia="仿宋_GB2312" w:cs="Times New Roman"/>
          <w:color w:val="000000"/>
          <w:kern w:val="0"/>
          <w:sz w:val="32"/>
          <w:szCs w:val="32"/>
        </w:rPr>
        <w:t>管理单位或向有关部门举报、投诉。</w:t>
      </w:r>
    </w:p>
    <w:p w14:paraId="46A29ACE">
      <w:pPr>
        <w:widowControl/>
        <w:shd w:val="clear" w:color="auto" w:fill="FFFFFF"/>
        <w:spacing w:line="555" w:lineRule="atLeast"/>
        <w:ind w:firstLine="645"/>
        <w:jc w:val="left"/>
        <w:rPr>
          <w:rFonts w:hint="eastAsia" w:ascii="仿宋_GB2312" w:hAnsi="Times New Roman" w:eastAsia="仿宋_GB2312" w:cs="Times New Roman"/>
          <w:color w:val="000000"/>
          <w:kern w:val="0"/>
          <w:sz w:val="32"/>
          <w:szCs w:val="32"/>
        </w:rPr>
      </w:pPr>
      <w:r>
        <w:rPr>
          <w:rFonts w:hint="eastAsia" w:ascii="黑体" w:hAnsi="黑体" w:eastAsia="黑体" w:cs="Times New Roman"/>
          <w:color w:val="000000"/>
          <w:kern w:val="0"/>
          <w:sz w:val="32"/>
          <w:szCs w:val="32"/>
        </w:rPr>
        <w:t>第</w:t>
      </w:r>
      <w:r>
        <w:rPr>
          <w:rFonts w:hint="eastAsia" w:ascii="黑体" w:hAnsi="黑体" w:eastAsia="黑体" w:cs="Times New Roman"/>
          <w:color w:val="000000"/>
          <w:kern w:val="0"/>
          <w:sz w:val="32"/>
          <w:szCs w:val="32"/>
          <w:lang w:eastAsia="zh-CN"/>
        </w:rPr>
        <w:t>二十三</w:t>
      </w:r>
      <w:r>
        <w:rPr>
          <w:rFonts w:hint="eastAsia" w:ascii="黑体" w:hAnsi="黑体" w:eastAsia="黑体" w:cs="Times New Roman"/>
          <w:color w:val="000000"/>
          <w:kern w:val="0"/>
          <w:sz w:val="32"/>
          <w:szCs w:val="32"/>
        </w:rPr>
        <w:t xml:space="preserve">条  </w:t>
      </w:r>
      <w:r>
        <w:rPr>
          <w:rFonts w:hint="eastAsia" w:ascii="仿宋_GB2312" w:hAnsi="Times New Roman" w:eastAsia="仿宋_GB2312" w:cs="Times New Roman"/>
          <w:color w:val="000000"/>
          <w:kern w:val="0"/>
          <w:sz w:val="32"/>
          <w:szCs w:val="32"/>
        </w:rPr>
        <w:t>对违反本办法的单位和个人，造成管廊及附属设施损害的，应当依法承担赔偿责任;构成犯罪的，依法追究刑事责任。</w:t>
      </w:r>
    </w:p>
    <w:p w14:paraId="213E5CE6">
      <w:pPr>
        <w:widowControl/>
        <w:shd w:val="clear" w:color="auto" w:fill="FFFFFF"/>
        <w:spacing w:line="555" w:lineRule="atLeast"/>
        <w:ind w:firstLine="645"/>
        <w:jc w:val="left"/>
        <w:rPr>
          <w:rFonts w:ascii="Arial" w:hAnsi="Arial" w:eastAsia="宋体" w:cs="Arial"/>
          <w:color w:val="000000"/>
          <w:kern w:val="0"/>
          <w:sz w:val="24"/>
          <w:szCs w:val="24"/>
        </w:rPr>
      </w:pPr>
      <w:r>
        <w:rPr>
          <w:rFonts w:hint="eastAsia" w:ascii="黑体" w:hAnsi="黑体" w:eastAsia="黑体" w:cs="Times New Roman"/>
          <w:color w:val="000000"/>
          <w:kern w:val="0"/>
          <w:sz w:val="32"/>
          <w:szCs w:val="32"/>
        </w:rPr>
        <w:t>第</w:t>
      </w:r>
      <w:r>
        <w:rPr>
          <w:rFonts w:hint="eastAsia" w:ascii="黑体" w:hAnsi="黑体" w:eastAsia="黑体" w:cs="Times New Roman"/>
          <w:color w:val="000000"/>
          <w:kern w:val="0"/>
          <w:sz w:val="32"/>
          <w:szCs w:val="32"/>
          <w:lang w:eastAsia="zh-CN"/>
        </w:rPr>
        <w:t>二十四</w:t>
      </w:r>
      <w:r>
        <w:rPr>
          <w:rFonts w:hint="eastAsia" w:ascii="黑体" w:hAnsi="黑体" w:eastAsia="黑体" w:cs="Times New Roman"/>
          <w:color w:val="000000"/>
          <w:kern w:val="0"/>
          <w:sz w:val="32"/>
          <w:szCs w:val="32"/>
        </w:rPr>
        <w:t xml:space="preserve">条  </w:t>
      </w:r>
      <w:r>
        <w:rPr>
          <w:rFonts w:hint="eastAsia" w:ascii="仿宋_GB2312" w:hAnsi="Times New Roman" w:eastAsia="仿宋_GB2312" w:cs="Times New Roman"/>
          <w:color w:val="000000"/>
          <w:kern w:val="0"/>
          <w:sz w:val="32"/>
          <w:szCs w:val="32"/>
        </w:rPr>
        <w:t>本办法</w:t>
      </w:r>
      <w:r>
        <w:rPr>
          <w:rFonts w:hint="eastAsia" w:ascii="仿宋_GB2312" w:hAnsi="Times New Roman" w:eastAsia="仿宋_GB2312" w:cs="Times New Roman"/>
          <w:color w:val="000000"/>
          <w:kern w:val="0"/>
          <w:sz w:val="32"/>
          <w:szCs w:val="32"/>
          <w:lang w:eastAsia="zh-CN"/>
        </w:rPr>
        <w:t>由市城乡建设部门负责解释，</w:t>
      </w:r>
      <w:r>
        <w:rPr>
          <w:rFonts w:hint="eastAsia" w:ascii="仿宋_GB2312" w:hAnsi="Times New Roman" w:eastAsia="仿宋_GB2312" w:cs="Times New Roman"/>
          <w:color w:val="000000"/>
          <w:kern w:val="0"/>
          <w:sz w:val="32"/>
          <w:szCs w:val="32"/>
        </w:rPr>
        <w:t>自</w:t>
      </w:r>
      <w:r>
        <w:rPr>
          <w:rFonts w:hint="eastAsia" w:ascii="仿宋_GB2312" w:hAnsi="Times New Roman" w:eastAsia="仿宋_GB2312" w:cs="Times New Roman"/>
          <w:color w:val="000000"/>
          <w:kern w:val="0"/>
          <w:sz w:val="32"/>
          <w:szCs w:val="32"/>
          <w:lang w:eastAsia="zh-CN"/>
        </w:rPr>
        <w:t>发布</w:t>
      </w:r>
      <w:r>
        <w:rPr>
          <w:rFonts w:hint="eastAsia" w:ascii="仿宋_GB2312" w:hAnsi="Times New Roman" w:eastAsia="仿宋_GB2312" w:cs="Times New Roman"/>
          <w:color w:val="000000"/>
          <w:kern w:val="0"/>
          <w:sz w:val="32"/>
          <w:szCs w:val="32"/>
        </w:rPr>
        <w:t>之日起施行。</w:t>
      </w:r>
    </w:p>
    <w:p w14:paraId="4475F6F5">
      <w:pPr>
        <w:widowControl/>
        <w:shd w:val="clear" w:color="auto" w:fill="FFFFFF"/>
        <w:spacing w:line="450" w:lineRule="atLeast"/>
        <w:ind w:firstLine="480"/>
        <w:jc w:val="left"/>
        <w:rPr>
          <w:rFonts w:ascii="Arial" w:hAnsi="Arial" w:eastAsia="宋体" w:cs="Arial"/>
          <w:color w:val="000000"/>
          <w:kern w:val="0"/>
          <w:sz w:val="24"/>
          <w:szCs w:val="24"/>
        </w:rPr>
      </w:pPr>
    </w:p>
    <w:p w14:paraId="4B36F96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roman"/>
    <w:pitch w:val="default"/>
    <w:sig w:usb0="00000001" w:usb1="080E0000" w:usb2="00000000" w:usb3="00000000" w:csb0="00040000" w:csb1="00000000"/>
  </w:font>
  <w:font w:name="仿宋_GB2312">
    <w:altName w:val="仿宋"/>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0YzFmZDllNmZmY2EwYjdjNWRiMmMxZGY1MTA5NGQifQ=="/>
  </w:docVars>
  <w:rsids>
    <w:rsidRoot w:val="00C2416C"/>
    <w:rsid w:val="00C2416C"/>
    <w:rsid w:val="00E155E1"/>
    <w:rsid w:val="04A14811"/>
    <w:rsid w:val="0DF25310"/>
    <w:rsid w:val="13E470BD"/>
    <w:rsid w:val="19A460BA"/>
    <w:rsid w:val="19C261F1"/>
    <w:rsid w:val="1B530684"/>
    <w:rsid w:val="1BDB3AD1"/>
    <w:rsid w:val="23EE4874"/>
    <w:rsid w:val="29A21154"/>
    <w:rsid w:val="2D91675F"/>
    <w:rsid w:val="2EBA7562"/>
    <w:rsid w:val="354319DD"/>
    <w:rsid w:val="36F301FB"/>
    <w:rsid w:val="3904088C"/>
    <w:rsid w:val="3A2B484E"/>
    <w:rsid w:val="3C980CA0"/>
    <w:rsid w:val="3E951AD3"/>
    <w:rsid w:val="4A8F4985"/>
    <w:rsid w:val="4AAA7A11"/>
    <w:rsid w:val="4E3D416C"/>
    <w:rsid w:val="4E564584"/>
    <w:rsid w:val="4FD317B8"/>
    <w:rsid w:val="50CB35FD"/>
    <w:rsid w:val="5C1B2C68"/>
    <w:rsid w:val="6BB31870"/>
    <w:rsid w:val="79033B60"/>
    <w:rsid w:val="7D97748B"/>
    <w:rsid w:val="7ED736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5"/>
    <w:semiHidden/>
    <w:unhideWhenUsed/>
    <w:qFormat/>
    <w:uiPriority w:val="99"/>
    <w:rPr>
      <w:sz w:val="18"/>
      <w:szCs w:val="18"/>
    </w:rPr>
  </w:style>
  <w:style w:type="character" w:customStyle="1" w:styleId="5">
    <w:name w:val="批注框文本 Char"/>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8</Pages>
  <Words>2948</Words>
  <Characters>2954</Characters>
  <Lines>21</Lines>
  <Paragraphs>6</Paragraphs>
  <TotalTime>21</TotalTime>
  <ScaleCrop>false</ScaleCrop>
  <LinksUpToDate>false</LinksUpToDate>
  <CharactersWithSpaces>2986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2023-07-07T07:30:00Z</dcterms:created>
  <dc:creator>微软用户</dc:creator>
  <cp:lastModifiedBy>简单</cp:lastModifiedBy>
  <cp:lastPrinted>2024-09-30T01:18:26Z</cp:lastPrinted>
  <dcterms:modified xsi:type="dcterms:W3CDTF">2024-09-30T01:24:03Z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A3C8EE7E89C04112B50555F5539F69FA_13</vt:lpwstr>
  </property>
</Properties>
</file>